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HeaderChar"/>
          <w:rFonts w:asciiTheme="majorHAnsi" w:eastAsiaTheme="majorEastAsia" w:hAnsiTheme="majorHAnsi" w:cstheme="majorBidi"/>
          <w:color w:val="auto"/>
          <w:spacing w:val="-10"/>
          <w:kern w:val="28"/>
          <w:sz w:val="44"/>
          <w:szCs w:val="56"/>
        </w:rPr>
        <w:alias w:val="Titre "/>
        <w:tag w:val=""/>
        <w:id w:val="2125644399"/>
        <w:lock w:val="sdtLocked"/>
        <w:placeholder>
          <w:docPart w:val="162650BE6765404EA179A9872D8AD4F3"/>
        </w:placeholder>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p w14:paraId="20246781" w14:textId="3BEDB630" w:rsidR="00D75E4B" w:rsidRPr="00790ED0" w:rsidRDefault="002A2624" w:rsidP="007C2CE6">
          <w:pPr>
            <w:jc w:val="left"/>
            <w:rPr>
              <w:sz w:val="44"/>
              <w:szCs w:val="44"/>
            </w:rPr>
          </w:pPr>
          <w:r>
            <w:rPr>
              <w:rStyle w:val="HeaderChar"/>
              <w:rFonts w:asciiTheme="majorHAnsi" w:eastAsiaTheme="majorEastAsia" w:hAnsiTheme="majorHAnsi" w:cstheme="majorBidi"/>
              <w:color w:val="auto"/>
              <w:spacing w:val="-10"/>
              <w:kern w:val="28"/>
              <w:sz w:val="44"/>
              <w:szCs w:val="56"/>
            </w:rPr>
            <w:t>Monthly Market Update</w:t>
          </w:r>
        </w:p>
      </w:sdtContent>
    </w:sdt>
    <w:p w14:paraId="2FA37031" w14:textId="77777777" w:rsidR="00CC72EF" w:rsidRPr="00CC72EF" w:rsidRDefault="00BB7147" w:rsidP="00CC72EF">
      <w:pPr>
        <w:pStyle w:val="NoSpacing"/>
        <w:spacing w:afterLines="120" w:after="288"/>
        <w:rPr>
          <w:rFonts w:ascii="Trebuchet MS" w:hAnsi="Trebuchet MS" w:cs="Times New Roman"/>
          <w:spacing w:val="-2"/>
          <w:w w:val="110"/>
          <w:sz w:val="20"/>
          <w:szCs w:val="20"/>
          <w:lang w:val="en-US"/>
        </w:rPr>
      </w:pPr>
      <w:r>
        <w:rPr>
          <w:noProof/>
        </w:rPr>
        <mc:AlternateContent>
          <mc:Choice Requires="wps">
            <w:drawing>
              <wp:inline distT="0" distB="0" distL="0" distR="0" wp14:anchorId="586CCD70" wp14:editId="6112189A">
                <wp:extent cx="1546860" cy="635"/>
                <wp:effectExtent l="0" t="0" r="15240" b="18415"/>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6860" cy="63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15E186"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121.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" strokecolor="#ffb600 [3205]" strokeweight="1pt">
                <v:stroke joinstyle="miter"/>
                <o:lock v:ext="edit" shapetype="f"/>
                <w10:anchorlock/>
              </v:line>
            </w:pict>
          </mc:Fallback>
        </mc:AlternateContent>
      </w:r>
    </w:p>
    <w:p w14:paraId="086718FA" w14:textId="179832AF" w:rsidR="002A2624" w:rsidRDefault="002A2624" w:rsidP="002A2624">
      <w:pPr>
        <w:jc w:val="right"/>
        <w:rPr>
          <w:rStyle w:val="SubtleEmphasis"/>
          <w:color w:val="003B4A" w:themeColor="text1"/>
        </w:rPr>
      </w:pPr>
      <w:r w:rsidRPr="002913AB">
        <w:rPr>
          <w:rStyle w:val="SubtleEmphasis"/>
          <w:color w:val="003B4A" w:themeColor="text1"/>
        </w:rPr>
        <w:t>From the Office of the CIO</w:t>
      </w:r>
      <w:r w:rsidRPr="002913AB">
        <w:rPr>
          <w:rStyle w:val="SubtleEmphasis"/>
          <w:color w:val="003B4A" w:themeColor="text1"/>
        </w:rPr>
        <w:br/>
        <w:t>US Asset Management – iM Global Partne</w:t>
      </w:r>
      <w:r>
        <w:rPr>
          <w:rStyle w:val="SubtleEmphasis"/>
          <w:color w:val="003B4A" w:themeColor="text1"/>
        </w:rPr>
        <w:t>r</w:t>
      </w:r>
    </w:p>
    <w:p w14:paraId="57536E9D" w14:textId="7DC081B4" w:rsidR="002A2624" w:rsidRPr="002A2624" w:rsidRDefault="002641BC" w:rsidP="002A2624">
      <w:pPr>
        <w:jc w:val="right"/>
        <w:rPr>
          <w:i/>
          <w:iCs/>
          <w:color w:val="003B4A" w:themeColor="text1"/>
        </w:rPr>
      </w:pPr>
      <w:r w:rsidRPr="002641BC">
        <w:rPr>
          <w:noProof/>
        </w:rPr>
        <w:drawing>
          <wp:anchor distT="0" distB="0" distL="114300" distR="114300" simplePos="0" relativeHeight="251662336" behindDoc="0" locked="0" layoutInCell="1" allowOverlap="1" wp14:anchorId="25CCFE68" wp14:editId="250103AA">
            <wp:simplePos x="0" y="0"/>
            <wp:positionH relativeFrom="margin">
              <wp:posOffset>2789334</wp:posOffset>
            </wp:positionH>
            <wp:positionV relativeFrom="margin">
              <wp:posOffset>1078230</wp:posOffset>
            </wp:positionV>
            <wp:extent cx="3905885" cy="4773930"/>
            <wp:effectExtent l="0" t="0" r="0" b="7620"/>
            <wp:wrapSquare wrapText="bothSides"/>
            <wp:docPr id="743675581" name="Picture 4" descr="#UpSlideImport#_#1#_#421011190.546938#_#8702373682102.059574#_#https://lgam.sharepoint.com/sites/ResearchProduction/Shared Documents/Research Production/Quarterly Client Communications/Data Templates/Benchmark Returns Table.xlsx#_#c.mejia#_#April Benchmark Returns#_##_#False#_##-#H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75581" name="Picture 4" descr="#UpSlideImport#_#1#_#421011190.546938#_#8702373682102.059574#_#https://lgam.sharepoint.com/sites/ResearchProduction/Shared Documents/Research Production/Quarterly Client Communications/Data Templates/Benchmark Returns Table.xlsx#_#c.mejia#_#April Benchmark Returns#_##_#False#_##-#Hard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885" cy="477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30138" w14:textId="66237453" w:rsidR="002A2624" w:rsidRPr="00A51BF9" w:rsidRDefault="002A2624" w:rsidP="00184D22">
      <w:pPr>
        <w:pStyle w:val="Heading1"/>
        <w:jc w:val="left"/>
        <w:rPr>
          <w:color w:val="003B4A" w:themeColor="accent1"/>
        </w:rPr>
      </w:pPr>
      <w:r w:rsidRPr="00A51BF9">
        <w:rPr>
          <w:color w:val="003B4A" w:themeColor="accent1"/>
        </w:rPr>
        <w:t>The Month At-A-Glance</w:t>
      </w:r>
    </w:p>
    <w:p w14:paraId="11026F94" w14:textId="7C0FB64D" w:rsidR="002A2624" w:rsidRDefault="00DB2292" w:rsidP="002A2624">
      <w:pPr>
        <w:pStyle w:val="ListParagraph"/>
        <w:numPr>
          <w:ilvl w:val="0"/>
          <w:numId w:val="8"/>
        </w:numPr>
        <w:spacing w:after="160"/>
        <w:contextualSpacing w:val="0"/>
      </w:pPr>
      <w:r>
        <w:t>Global equites rose in April</w:t>
      </w:r>
      <w:r w:rsidR="0073369E">
        <w:t xml:space="preserve"> amid regional banking stress and worsening leading economic indicators</w:t>
      </w:r>
    </w:p>
    <w:p w14:paraId="257F3705" w14:textId="3AFED74E" w:rsidR="002A2624" w:rsidRDefault="0086771E" w:rsidP="002A2624">
      <w:pPr>
        <w:pStyle w:val="ListParagraph"/>
        <w:numPr>
          <w:ilvl w:val="0"/>
          <w:numId w:val="8"/>
        </w:numPr>
        <w:spacing w:after="160"/>
        <w:contextualSpacing w:val="0"/>
      </w:pPr>
      <w:r>
        <w:t xml:space="preserve">Despite </w:t>
      </w:r>
      <w:r w:rsidR="00D1562A">
        <w:t xml:space="preserve">the </w:t>
      </w:r>
      <w:r w:rsidR="008A288B">
        <w:t>worries, the economy remains resilient and has yet to contract</w:t>
      </w:r>
    </w:p>
    <w:p w14:paraId="1C6E726A" w14:textId="50121A31" w:rsidR="002A2624" w:rsidRDefault="00DE4291" w:rsidP="002A2624">
      <w:pPr>
        <w:pStyle w:val="ListParagraph"/>
        <w:numPr>
          <w:ilvl w:val="0"/>
          <w:numId w:val="8"/>
        </w:numPr>
        <w:spacing w:after="160"/>
        <w:contextualSpacing w:val="0"/>
      </w:pPr>
      <w:r>
        <w:t xml:space="preserve">Investors waited </w:t>
      </w:r>
      <w:r w:rsidR="00133BCB">
        <w:t xml:space="preserve">for the Fed’s early May </w:t>
      </w:r>
      <w:r w:rsidR="00D2385C">
        <w:t>rate decision—widely believed to the last rate hike in</w:t>
      </w:r>
      <w:r w:rsidR="00944586">
        <w:t xml:space="preserve"> this cycle</w:t>
      </w:r>
    </w:p>
    <w:p w14:paraId="54281DCE" w14:textId="3B2A6B02" w:rsidR="002A2624" w:rsidRPr="00E7756A" w:rsidRDefault="00C56892" w:rsidP="002A2624">
      <w:pPr>
        <w:pStyle w:val="ListParagraph"/>
        <w:numPr>
          <w:ilvl w:val="0"/>
          <w:numId w:val="8"/>
        </w:numPr>
        <w:spacing w:after="160"/>
        <w:contextualSpacing w:val="0"/>
      </w:pPr>
      <w:r>
        <w:t xml:space="preserve">Regulators </w:t>
      </w:r>
      <w:r w:rsidR="00A3588B">
        <w:t xml:space="preserve">seized First Republic Bank and sold </w:t>
      </w:r>
      <w:r w:rsidR="00474806">
        <w:t>its assets to JPMorgan Chase</w:t>
      </w:r>
    </w:p>
    <w:p w14:paraId="2C899E9A" w14:textId="77777777" w:rsidR="002A2624" w:rsidRDefault="002A2624" w:rsidP="002A2624">
      <w:pPr>
        <w:jc w:val="right"/>
        <w:rPr>
          <w:rFonts w:cstheme="minorHAnsi"/>
          <w:sz w:val="20"/>
          <w:szCs w:val="20"/>
        </w:rPr>
      </w:pPr>
    </w:p>
    <w:p w14:paraId="0B78DF27" w14:textId="77777777" w:rsidR="002A2624" w:rsidRPr="00A51BF9" w:rsidRDefault="002A2624" w:rsidP="002A2624">
      <w:pPr>
        <w:pStyle w:val="Heading1"/>
        <w:rPr>
          <w:color w:val="003B4A" w:themeColor="accent1"/>
        </w:rPr>
      </w:pPr>
      <w:r w:rsidRPr="00A51BF9">
        <w:rPr>
          <w:color w:val="003B4A" w:themeColor="accent1"/>
        </w:rPr>
        <w:t>Market Recap</w:t>
      </w:r>
    </w:p>
    <w:p w14:paraId="36D4A68A" w14:textId="77777777" w:rsidR="00EB4FEA" w:rsidRDefault="002A2624" w:rsidP="002A2624">
      <w:r>
        <w:t xml:space="preserve">Equity markets </w:t>
      </w:r>
      <w:r w:rsidR="00C97F1E">
        <w:t>rose</w:t>
      </w:r>
      <w:r>
        <w:t xml:space="preserve"> during the month, </w:t>
      </w:r>
      <w:r w:rsidR="00C97F1E">
        <w:t>led higher by developed markets</w:t>
      </w:r>
      <w:r>
        <w:t xml:space="preserve">. </w:t>
      </w:r>
      <w:r w:rsidR="00A01CFC">
        <w:t xml:space="preserve">European markets outperformed </w:t>
      </w:r>
      <w:r w:rsidR="001E52F1">
        <w:t xml:space="preserve">all the main regains with a gain of 4.2%. </w:t>
      </w:r>
      <w:r>
        <w:t xml:space="preserve">The S&amp;P 500 </w:t>
      </w:r>
      <w:r w:rsidR="00CA6B78">
        <w:t>returned</w:t>
      </w:r>
      <w:r>
        <w:t xml:space="preserve"> </w:t>
      </w:r>
      <w:r w:rsidR="001705CE">
        <w:t>1.6</w:t>
      </w:r>
      <w:r>
        <w:t xml:space="preserve">% in </w:t>
      </w:r>
      <w:r w:rsidR="001705CE">
        <w:t>April</w:t>
      </w:r>
      <w:r>
        <w:t>.</w:t>
      </w:r>
      <w:r w:rsidR="001705CE">
        <w:t xml:space="preserve"> Emerging markets underperformed (</w:t>
      </w:r>
      <w:r w:rsidR="00033793">
        <w:t xml:space="preserve">down 1.1%) due to weakness in Chinese equities (down </w:t>
      </w:r>
      <w:r w:rsidR="00120D16">
        <w:t>5.2%).</w:t>
      </w:r>
    </w:p>
    <w:p w14:paraId="53761F94" w14:textId="77777777" w:rsidR="00EB4FEA" w:rsidRDefault="00EB4FEA" w:rsidP="002A2624"/>
    <w:p w14:paraId="32AD5D2D" w14:textId="6551541B" w:rsidR="00535E0B" w:rsidRDefault="00EB4FEA" w:rsidP="002A2624">
      <w:r>
        <w:t xml:space="preserve">Unlike </w:t>
      </w:r>
      <w:r w:rsidR="00C56821">
        <w:t xml:space="preserve">the bank failures in March, </w:t>
      </w:r>
      <w:r w:rsidR="00816115">
        <w:t xml:space="preserve">the leadup to </w:t>
      </w:r>
      <w:r w:rsidR="00C7365E">
        <w:t>First Republic</w:t>
      </w:r>
      <w:r w:rsidR="00816115">
        <w:t xml:space="preserve"> Bank’s failure </w:t>
      </w:r>
      <w:r w:rsidR="00A93EED">
        <w:t xml:space="preserve">was largely shrugged off by markets. In fact, </w:t>
      </w:r>
      <w:r w:rsidR="00C364FB">
        <w:t xml:space="preserve">at the end of the month, </w:t>
      </w:r>
      <w:r w:rsidR="00A93EED">
        <w:t xml:space="preserve">the CBOE </w:t>
      </w:r>
      <w:r w:rsidR="00166F2F">
        <w:t xml:space="preserve">Market </w:t>
      </w:r>
      <w:r w:rsidR="00A93EED">
        <w:t>Volatility Index (VIX) hit its lowest level</w:t>
      </w:r>
      <w:r w:rsidR="00166F2F">
        <w:t xml:space="preserve"> since 2021.</w:t>
      </w:r>
      <w:r w:rsidR="00D038BE">
        <w:t xml:space="preserve"> First Republic’s failure </w:t>
      </w:r>
      <w:r w:rsidR="009D58C8">
        <w:t xml:space="preserve">is the second largest bank </w:t>
      </w:r>
      <w:r w:rsidR="00A9443C">
        <w:t xml:space="preserve">failure in US history and makes it the </w:t>
      </w:r>
      <w:r w:rsidR="00694E8E">
        <w:t>3</w:t>
      </w:r>
      <w:r w:rsidR="00694E8E" w:rsidRPr="00694E8E">
        <w:rPr>
          <w:vertAlign w:val="superscript"/>
        </w:rPr>
        <w:t>rd</w:t>
      </w:r>
      <w:r w:rsidR="00694E8E">
        <w:t xml:space="preserve"> bank to enter FDIC </w:t>
      </w:r>
      <w:r w:rsidR="002B0507">
        <w:t>receivership</w:t>
      </w:r>
      <w:r w:rsidR="00694E8E">
        <w:t xml:space="preserve"> </w:t>
      </w:r>
      <w:r w:rsidR="002B0507">
        <w:t>since March.</w:t>
      </w:r>
      <w:r w:rsidR="00A93EED">
        <w:t xml:space="preserve"> </w:t>
      </w:r>
      <w:r w:rsidR="0062135D">
        <w:t>Bank failures have been relatively modest over the past decade</w:t>
      </w:r>
      <w:r w:rsidR="00F30D89">
        <w:t>—and even this years’ failures are significantly less than the thousands of banks that failed during the Savings &amp; Loans Crisis of the 1980s or hundreds o</w:t>
      </w:r>
      <w:r w:rsidR="00B209A6">
        <w:t xml:space="preserve">f banks that went under in the wake of the Great Financial Crisis. </w:t>
      </w:r>
    </w:p>
    <w:p w14:paraId="03474E99" w14:textId="127F93E0" w:rsidR="00535E0B" w:rsidRDefault="00535E0B" w:rsidP="002A2624">
      <w:r>
        <w:rPr>
          <w:noProof/>
        </w:rPr>
        <w:lastRenderedPageBreak/>
        <w:drawing>
          <wp:inline distT="0" distB="0" distL="0" distR="0" wp14:anchorId="7EAA7D34" wp14:editId="4C6A8D0C">
            <wp:extent cx="6279940" cy="3388360"/>
            <wp:effectExtent l="0" t="0" r="0" b="0"/>
            <wp:docPr id="139243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1172" cy="3394420"/>
                    </a:xfrm>
                    <a:prstGeom prst="rect">
                      <a:avLst/>
                    </a:prstGeom>
                    <a:noFill/>
                  </pic:spPr>
                </pic:pic>
              </a:graphicData>
            </a:graphic>
          </wp:inline>
        </w:drawing>
      </w:r>
    </w:p>
    <w:p w14:paraId="5389119D" w14:textId="77777777" w:rsidR="00D861B7" w:rsidRDefault="00D861B7" w:rsidP="002A2624"/>
    <w:p w14:paraId="37158CFF" w14:textId="4104F74B" w:rsidR="002A2624" w:rsidRDefault="003775B2" w:rsidP="002A2624">
      <w:r>
        <w:t>While the S&amp;P 500 Index is up a strong 9.2% so far this year, t</w:t>
      </w:r>
      <w:r w:rsidR="00A15958">
        <w:t xml:space="preserve">he narrowness of the market </w:t>
      </w:r>
      <w:r w:rsidR="009C25E3">
        <w:t xml:space="preserve">has been notable. </w:t>
      </w:r>
      <w:r w:rsidR="00131FB6">
        <w:t>A recent Goldman Sachs report noted that</w:t>
      </w:r>
      <w:r w:rsidR="0073063A">
        <w:t xml:space="preserve"> 90% of the S&amp;P 500’s year-to-date return is accounted for by the largest 15 stocks. </w:t>
      </w:r>
      <w:r w:rsidR="00F175C1">
        <w:t xml:space="preserve">Look no further than the FANG stocks which have clocked </w:t>
      </w:r>
      <w:r w:rsidR="004F0A19">
        <w:t>in a return of more than 30% this year.</w:t>
      </w:r>
      <w:r w:rsidR="00371B9B">
        <w:t xml:space="preserve"> </w:t>
      </w:r>
      <w:r w:rsidR="00150D12">
        <w:t>It has paid to own the largest names in the index</w:t>
      </w:r>
      <w:r w:rsidR="00504EC4">
        <w:t xml:space="preserve">. The S&amp;P 500 Equal Weighted Index is up </w:t>
      </w:r>
      <w:r>
        <w:t xml:space="preserve">just </w:t>
      </w:r>
      <w:r w:rsidR="00504EC4">
        <w:t>3.3% this year, nearly 600 b</w:t>
      </w:r>
      <w:r w:rsidR="00D55D21">
        <w:t>asis points behind the S&amp;P 500</w:t>
      </w:r>
      <w:r w:rsidR="003566D9">
        <w:t xml:space="preserve"> (market cap weighted index)</w:t>
      </w:r>
      <w:r w:rsidR="00D55D21">
        <w:t xml:space="preserve">. </w:t>
      </w:r>
    </w:p>
    <w:p w14:paraId="50CEE475" w14:textId="77777777" w:rsidR="002A2624" w:rsidRDefault="002A2624" w:rsidP="002A2624"/>
    <w:p w14:paraId="2C1F43D5" w14:textId="69C98047" w:rsidR="002A2624" w:rsidRDefault="00F77667" w:rsidP="002A2624">
      <w:r>
        <w:t>Interest rates were largely unchanged during the month (also reflecting relative</w:t>
      </w:r>
      <w:r w:rsidR="00DE0F1F">
        <w:t xml:space="preserve"> disregard for the </w:t>
      </w:r>
      <w:r w:rsidR="00B66776">
        <w:t>regional banking issues)</w:t>
      </w:r>
      <w:r w:rsidR="002A2624">
        <w:t>.</w:t>
      </w:r>
      <w:r w:rsidR="00560AFF">
        <w:t xml:space="preserve"> The 10-year Treasury rate </w:t>
      </w:r>
      <w:r w:rsidR="002021BE">
        <w:t>started the month at 3.48% and ended at 3.44%.</w:t>
      </w:r>
      <w:r w:rsidR="002A2624">
        <w:t xml:space="preserve"> The Bloomberg US Aggregate Bond Index </w:t>
      </w:r>
      <w:r w:rsidR="0088313E">
        <w:t>gained</w:t>
      </w:r>
      <w:r w:rsidR="002A2624">
        <w:t xml:space="preserve"> </w:t>
      </w:r>
      <w:r w:rsidR="0088313E">
        <w:t>0.6</w:t>
      </w:r>
      <w:r w:rsidR="002A2624">
        <w:t xml:space="preserve">%. </w:t>
      </w:r>
      <w:r w:rsidR="00F35AFA">
        <w:t xml:space="preserve">Riskier credit </w:t>
      </w:r>
      <w:r w:rsidR="004C2B30">
        <w:t xml:space="preserve">slightly </w:t>
      </w:r>
      <w:r w:rsidR="00F35AFA">
        <w:t>outperformed the core bond index</w:t>
      </w:r>
      <w:r w:rsidR="002A2624">
        <w:t xml:space="preserve">. The ICE BofA US High Yield market </w:t>
      </w:r>
      <w:r w:rsidR="00DE1936">
        <w:t>gained</w:t>
      </w:r>
      <w:r w:rsidR="002A2624">
        <w:t xml:space="preserve"> 1</w:t>
      </w:r>
      <w:r w:rsidR="00DE1936">
        <w:t>.0</w:t>
      </w:r>
      <w:r w:rsidR="002A2624">
        <w:t>%.</w:t>
      </w:r>
    </w:p>
    <w:p w14:paraId="467A085D" w14:textId="77777777" w:rsidR="002A2624" w:rsidRDefault="002A2624" w:rsidP="002A2624"/>
    <w:p w14:paraId="529FA449" w14:textId="77777777" w:rsidR="002A2624" w:rsidRPr="00A51BF9" w:rsidRDefault="002A2624" w:rsidP="002A2624">
      <w:pPr>
        <w:pStyle w:val="Heading1"/>
        <w:rPr>
          <w:color w:val="003B4A" w:themeColor="accent1"/>
        </w:rPr>
      </w:pPr>
      <w:r w:rsidRPr="00A51BF9">
        <w:rPr>
          <w:color w:val="003B4A" w:themeColor="accent1"/>
        </w:rPr>
        <w:t>Notable Events</w:t>
      </w:r>
    </w:p>
    <w:p w14:paraId="79D196AC" w14:textId="768FD8FA" w:rsidR="002A2624" w:rsidRDefault="00FF7876" w:rsidP="002A2624">
      <w:r>
        <w:t>The month was filled with mixed data on the economy</w:t>
      </w:r>
      <w:r w:rsidR="001D6DCF">
        <w:t xml:space="preserve"> as investors waited for the May FOMC meeting.</w:t>
      </w:r>
      <w:r w:rsidR="00445F2C">
        <w:t xml:space="preserve"> First quarter </w:t>
      </w:r>
      <w:r w:rsidR="00AF7039">
        <w:t xml:space="preserve">real </w:t>
      </w:r>
      <w:r w:rsidR="00445F2C">
        <w:t xml:space="preserve">GDP </w:t>
      </w:r>
      <w:r w:rsidR="00AF7039">
        <w:t xml:space="preserve">growth </w:t>
      </w:r>
      <w:r w:rsidR="00A9676E">
        <w:t>came in at 1.1%, which was below consensus of 1.9%.</w:t>
      </w:r>
      <w:r w:rsidR="00D2644B">
        <w:t xml:space="preserve"> It was a notable slowdown from 2.6% GDP growth in the previous quarter</w:t>
      </w:r>
      <w:r w:rsidR="00F51BED">
        <w:t xml:space="preserve">. </w:t>
      </w:r>
      <w:r w:rsidR="004C08FC">
        <w:t>However, first quarter</w:t>
      </w:r>
      <w:r w:rsidR="00F51BED">
        <w:t xml:space="preserve"> GDP was not a result of weak consumer spending</w:t>
      </w:r>
      <w:r w:rsidR="004C08FC">
        <w:t xml:space="preserve"> (real personal consumption expenditures increased 3.7% in the quarter).</w:t>
      </w:r>
      <w:r w:rsidR="00650898">
        <w:t xml:space="preserve"> The drag on first quarter GDP was </w:t>
      </w:r>
      <w:r w:rsidR="00DE4ABF">
        <w:t xml:space="preserve">declining </w:t>
      </w:r>
      <w:r w:rsidR="00127513">
        <w:t xml:space="preserve">business inventories. </w:t>
      </w:r>
    </w:p>
    <w:p w14:paraId="56E005A7" w14:textId="77777777" w:rsidR="00003B94" w:rsidRDefault="00003B94" w:rsidP="002A2624"/>
    <w:p w14:paraId="6F6C2F38" w14:textId="0783DBC5" w:rsidR="00003B94" w:rsidRDefault="00003B94" w:rsidP="002A2624">
      <w:r>
        <w:t xml:space="preserve">Leading indicators on the economy continue to worsen. The Conference Board Leading Economic </w:t>
      </w:r>
      <w:r w:rsidR="002F2DD2">
        <w:t xml:space="preserve">Index (LEI) declined further in its latest March reading—falling well into recession territory </w:t>
      </w:r>
      <w:r w:rsidR="0031039F">
        <w:t xml:space="preserve">and its lowest </w:t>
      </w:r>
      <w:r w:rsidR="0031039F">
        <w:lastRenderedPageBreak/>
        <w:t xml:space="preserve">level since November 2020. The Conference Board “forecasts that economic weakness </w:t>
      </w:r>
      <w:r w:rsidR="00ED0253" w:rsidRPr="00ED0253">
        <w:t>will intensify and spread more widely throughout the US economy over the coming months, leading to a recession starting in mid-2023</w:t>
      </w:r>
      <w:r w:rsidR="00ED0253">
        <w:t xml:space="preserve">.” </w:t>
      </w:r>
      <w:r w:rsidR="00F7210F">
        <w:t xml:space="preserve">According to the Conference Board, there is a 99% probability of a recession in the next 12 months. </w:t>
      </w:r>
      <w:r w:rsidR="00842214">
        <w:t>It very much seems the consensus view</w:t>
      </w:r>
      <w:r w:rsidR="003A5A42">
        <w:t xml:space="preserve"> is</w:t>
      </w:r>
      <w:r w:rsidR="00842214">
        <w:t xml:space="preserve"> that </w:t>
      </w:r>
      <w:r w:rsidR="00BD5ED0">
        <w:t xml:space="preserve">a recession will happen in the second half of 2023 or early next year. </w:t>
      </w:r>
      <w:r w:rsidR="005057A5">
        <w:t>Whether or not that comes to pass (we think it does), the equity and credit markets are not priced</w:t>
      </w:r>
      <w:r w:rsidR="003D185D">
        <w:t xml:space="preserve"> for a recessionary environment. </w:t>
      </w:r>
    </w:p>
    <w:p w14:paraId="10055791" w14:textId="77777777" w:rsidR="00BD0F81" w:rsidRDefault="00BD0F81" w:rsidP="002A2624"/>
    <w:p w14:paraId="03EA1C9A" w14:textId="7A83743C" w:rsidR="00BD0F81" w:rsidRDefault="00BD0F81" w:rsidP="002A2624">
      <w:r>
        <w:t xml:space="preserve">The May 2-3 FOMC meeting was </w:t>
      </w:r>
      <w:r w:rsidR="00182738">
        <w:t xml:space="preserve">the anticipated event throughout much of April. Despite banking stress and inflation </w:t>
      </w:r>
      <w:proofErr w:type="gramStart"/>
      <w:r w:rsidR="00FB4441">
        <w:t>double</w:t>
      </w:r>
      <w:proofErr w:type="gramEnd"/>
      <w:r w:rsidR="00182738">
        <w:t xml:space="preserve"> </w:t>
      </w:r>
      <w:r w:rsidR="00C24B76">
        <w:t>the Fed’s 2% target</w:t>
      </w:r>
      <w:r w:rsidR="00FB4441">
        <w:t xml:space="preserve">, it was largely expected that a 25 basis points increase </w:t>
      </w:r>
      <w:r w:rsidR="008B146D">
        <w:t xml:space="preserve">in the fed funds rate </w:t>
      </w:r>
      <w:r w:rsidR="00FB4441">
        <w:t xml:space="preserve">was in the works (bringing the </w:t>
      </w:r>
      <w:r w:rsidR="007B0B0C">
        <w:t>target range to 5%-5.25%).</w:t>
      </w:r>
      <w:r w:rsidR="008B146D">
        <w:t xml:space="preserve"> The Fed followed through on this</w:t>
      </w:r>
      <w:r w:rsidR="000B2AF3">
        <w:t xml:space="preserve">, </w:t>
      </w:r>
      <w:r w:rsidR="008E162B">
        <w:t xml:space="preserve">which </w:t>
      </w:r>
      <w:r w:rsidR="008C63D2">
        <w:t xml:space="preserve">is </w:t>
      </w:r>
      <w:r w:rsidR="008E162B">
        <w:t xml:space="preserve">now </w:t>
      </w:r>
      <w:r w:rsidR="008C63D2">
        <w:t>widely expected to be the final rate hike in the current hiking cycle</w:t>
      </w:r>
      <w:r w:rsidR="00D02377">
        <w:t>.</w:t>
      </w:r>
      <w:r w:rsidR="00C94FBB">
        <w:t xml:space="preserve"> The CME</w:t>
      </w:r>
      <w:r w:rsidR="00CD63CE">
        <w:t xml:space="preserve"> futures market has it at a </w:t>
      </w:r>
      <w:r w:rsidR="008E162B">
        <w:t xml:space="preserve">100% </w:t>
      </w:r>
      <w:r w:rsidR="00CD63CE">
        <w:t xml:space="preserve">certainty that the Fed will cut rates multiple times between now and the end of the year. </w:t>
      </w:r>
      <w:r w:rsidR="00802486">
        <w:t>This is one of the big divides in the market</w:t>
      </w:r>
      <w:r w:rsidR="00AE55A6">
        <w:t xml:space="preserve">—the Fed and Chair Powell </w:t>
      </w:r>
      <w:r w:rsidR="00BB13B6">
        <w:t>want</w:t>
      </w:r>
      <w:r w:rsidR="0088252C">
        <w:t xml:space="preserve"> to hold rates at these levels for an extended </w:t>
      </w:r>
      <w:r w:rsidR="006C59D1">
        <w:t>period;</w:t>
      </w:r>
      <w:r w:rsidR="0088252C">
        <w:t xml:space="preserve"> however, the market is expecting a U-turn in short order. </w:t>
      </w:r>
    </w:p>
    <w:p w14:paraId="788E4FD9" w14:textId="77777777" w:rsidR="002A2624" w:rsidRDefault="002A2624" w:rsidP="002A2624"/>
    <w:p w14:paraId="069A3258" w14:textId="77777777" w:rsidR="002A2624" w:rsidRPr="00A51BF9" w:rsidRDefault="002A2624" w:rsidP="002A2624">
      <w:pPr>
        <w:pStyle w:val="Heading1"/>
        <w:rPr>
          <w:color w:val="003B4A" w:themeColor="accent1"/>
        </w:rPr>
      </w:pPr>
      <w:r w:rsidRPr="00A51BF9">
        <w:rPr>
          <w:color w:val="003B4A" w:themeColor="accent1"/>
        </w:rPr>
        <w:t>Investment Takeaways</w:t>
      </w:r>
    </w:p>
    <w:p w14:paraId="648A0CD8" w14:textId="6D462E6D" w:rsidR="002A2624" w:rsidRDefault="002A2624" w:rsidP="002A2624">
      <w:r>
        <w:t xml:space="preserve">We </w:t>
      </w:r>
      <w:r w:rsidR="00F6652C">
        <w:t xml:space="preserve">made a strategic </w:t>
      </w:r>
      <w:r>
        <w:t xml:space="preserve">asset allocation change in </w:t>
      </w:r>
      <w:r w:rsidR="00F6652C">
        <w:t>April</w:t>
      </w:r>
      <w:r>
        <w:t xml:space="preserve">. </w:t>
      </w:r>
      <w:r w:rsidR="00AF2544">
        <w:t xml:space="preserve">We reduced our strategic allocation to emerging-market </w:t>
      </w:r>
      <w:r w:rsidR="005E4C92">
        <w:t>stocks</w:t>
      </w:r>
      <w:r w:rsidR="00AF2544">
        <w:t xml:space="preserve"> </w:t>
      </w:r>
      <w:r w:rsidR="00933F3A">
        <w:t xml:space="preserve">and reallocated into developed international stocks. The new weights align </w:t>
      </w:r>
      <w:r w:rsidR="005E4C92">
        <w:t>our strategic allocation with the MSCI ACWI Index (roughly 60% US stocks, 28% developed international stocks, and 12% emerging-markets stocks.</w:t>
      </w:r>
      <w:r w:rsidR="00942FBF">
        <w:t xml:space="preserve"> For more details see: </w:t>
      </w:r>
      <w:hyperlink r:id="rId14" w:history="1">
        <w:r w:rsidR="00942FBF" w:rsidRPr="00942FBF">
          <w:rPr>
            <w:rStyle w:val="Hyperlink"/>
          </w:rPr>
          <w:t>Strategic Allocation Changes</w:t>
        </w:r>
      </w:hyperlink>
    </w:p>
    <w:p w14:paraId="1F1BA11F" w14:textId="77777777" w:rsidR="002A2624" w:rsidRDefault="002A2624" w:rsidP="002A2624"/>
    <w:p w14:paraId="00A58EDC" w14:textId="200F0B60" w:rsidR="002A2624" w:rsidRDefault="00D3219E" w:rsidP="002A2624">
      <w:r>
        <w:t xml:space="preserve">We did not make any tactical allocation changes. We remain </w:t>
      </w:r>
      <w:r w:rsidR="00EA312A">
        <w:t>in the camp that a recession in the next 12 month</w:t>
      </w:r>
      <w:r w:rsidR="007871F1">
        <w:t xml:space="preserve">s </w:t>
      </w:r>
      <w:r w:rsidR="00EA312A">
        <w:t xml:space="preserve">is likely. </w:t>
      </w:r>
      <w:r w:rsidR="00EB0A8D">
        <w:t xml:space="preserve">We are often asked why we haven’t </w:t>
      </w:r>
      <w:r w:rsidR="00010DEC">
        <w:t xml:space="preserve">further </w:t>
      </w:r>
      <w:r w:rsidR="00EB0A8D">
        <w:t xml:space="preserve">decreased portfolio risk in the face of </w:t>
      </w:r>
      <w:r w:rsidR="006C59D1">
        <w:t>an</w:t>
      </w:r>
      <w:r w:rsidR="00EB0A8D">
        <w:t xml:space="preserve"> </w:t>
      </w:r>
      <w:r w:rsidR="00407F98">
        <w:t>imminent recession.</w:t>
      </w:r>
      <w:r w:rsidR="00010DEC">
        <w:t xml:space="preserve"> (We reduced our equity exposure by a</w:t>
      </w:r>
      <w:r w:rsidR="00764D07">
        <w:t>n increment</w:t>
      </w:r>
      <w:r w:rsidR="00010DEC">
        <w:t xml:space="preserve"> last September.)</w:t>
      </w:r>
      <w:r w:rsidR="00407F98">
        <w:t xml:space="preserve"> </w:t>
      </w:r>
      <w:r w:rsidR="00071A14">
        <w:t xml:space="preserve">What’s tricky in the current environment </w:t>
      </w:r>
      <w:r w:rsidR="00407F98">
        <w:t xml:space="preserve">is that </w:t>
      </w:r>
      <w:r w:rsidR="00F857C3">
        <w:t>many of the leading indicators that investors look at (e.g., inverted Treasury curves or LEI’s)</w:t>
      </w:r>
      <w:r w:rsidR="00764D07">
        <w:t xml:space="preserve"> historically</w:t>
      </w:r>
      <w:r w:rsidR="00EA497F">
        <w:t xml:space="preserve"> flash their warning signs closer to all-time highs in markets. </w:t>
      </w:r>
      <w:r w:rsidR="00777DBF">
        <w:t xml:space="preserve">For </w:t>
      </w:r>
      <w:r w:rsidR="001630E3">
        <w:t>example,</w:t>
      </w:r>
      <w:r w:rsidR="002E3E1D">
        <w:t xml:space="preserve"> </w:t>
      </w:r>
      <w:r w:rsidR="001630E3">
        <w:t>d</w:t>
      </w:r>
      <w:r w:rsidR="00944CD8">
        <w:t xml:space="preserve">uring previous 10s-2s inversions, there was a decent lead time </w:t>
      </w:r>
      <w:r w:rsidR="003F3876">
        <w:t xml:space="preserve">before markets </w:t>
      </w:r>
      <w:r w:rsidR="000123D1">
        <w:t xml:space="preserve">ultimately </w:t>
      </w:r>
      <w:r w:rsidR="00D57389">
        <w:t xml:space="preserve">fell. When </w:t>
      </w:r>
      <w:r w:rsidR="000123D1">
        <w:t>the curve inverted</w:t>
      </w:r>
      <w:r w:rsidR="00D57389">
        <w:t xml:space="preserve"> in </w:t>
      </w:r>
      <w:r w:rsidR="00B225B2">
        <w:t xml:space="preserve">2019, it wasn’t until February 2020 that the market hit an all-time high. </w:t>
      </w:r>
      <w:r w:rsidR="00A75541">
        <w:t>In the cycle before that, t</w:t>
      </w:r>
      <w:r w:rsidR="007C24D6">
        <w:t xml:space="preserve">he </w:t>
      </w:r>
      <w:r w:rsidR="004D4E8C">
        <w:t xml:space="preserve">inverted yield curve </w:t>
      </w:r>
      <w:r w:rsidR="007C24D6">
        <w:t xml:space="preserve">warning sign went off in </w:t>
      </w:r>
      <w:r w:rsidR="00D55C54">
        <w:t>2006 but it wasn’t until the summer of 2007 that the S&amp;P 500 would peak.</w:t>
      </w:r>
      <w:r w:rsidR="00777DBF">
        <w:t xml:space="preserve"> </w:t>
      </w:r>
      <w:r w:rsidR="00D55C54">
        <w:t>However, this time</w:t>
      </w:r>
      <w:r w:rsidR="00D24205">
        <w:t>,</w:t>
      </w:r>
      <w:r w:rsidR="00D55C54">
        <w:t xml:space="preserve"> </w:t>
      </w:r>
      <w:r w:rsidR="00F9313D">
        <w:t xml:space="preserve">when </w:t>
      </w:r>
      <w:r w:rsidR="004D4E8C">
        <w:t xml:space="preserve">the </w:t>
      </w:r>
      <w:r w:rsidR="00F9313D">
        <w:t>10</w:t>
      </w:r>
      <w:r w:rsidR="00B911E9">
        <w:t xml:space="preserve">-year/2-year </w:t>
      </w:r>
      <w:r w:rsidR="004D4E8C">
        <w:t>yield curve inverted</w:t>
      </w:r>
      <w:r w:rsidR="00BF69A6">
        <w:t xml:space="preserve"> </w:t>
      </w:r>
      <w:r w:rsidR="00F9313D">
        <w:t>in the summer of 2022</w:t>
      </w:r>
      <w:r w:rsidR="006603BE">
        <w:t xml:space="preserve"> </w:t>
      </w:r>
      <w:r w:rsidR="001630E3">
        <w:t xml:space="preserve">the </w:t>
      </w:r>
      <w:r w:rsidR="00D24205">
        <w:t xml:space="preserve">stock </w:t>
      </w:r>
      <w:r w:rsidR="001630E3">
        <w:t xml:space="preserve">market was already down over 20%. Investors heeded the </w:t>
      </w:r>
      <w:r w:rsidR="00D2579A">
        <w:t xml:space="preserve">recession </w:t>
      </w:r>
      <w:r w:rsidR="001630E3">
        <w:t>warning in real-time.</w:t>
      </w:r>
    </w:p>
    <w:p w14:paraId="7248669F" w14:textId="77777777" w:rsidR="002A2624" w:rsidRDefault="002A2624" w:rsidP="002A2624"/>
    <w:p w14:paraId="31203B1C" w14:textId="63AC900E" w:rsidR="00B57060" w:rsidRDefault="00B57060" w:rsidP="002A2624">
      <w:r>
        <w:t xml:space="preserve">While we remain cautious about the market and economy, we understand that </w:t>
      </w:r>
      <w:r w:rsidR="0055367E">
        <w:t xml:space="preserve">the “soft landing” scenario is possible (even if the probability is shrinking amid tightening lending standards </w:t>
      </w:r>
      <w:proofErr w:type="gramStart"/>
      <w:r w:rsidR="0055367E">
        <w:t>as a result of</w:t>
      </w:r>
      <w:proofErr w:type="gramEnd"/>
      <w:r w:rsidR="0055367E">
        <w:t xml:space="preserve"> </w:t>
      </w:r>
      <w:r w:rsidR="00577DCA">
        <w:t>the banking issues</w:t>
      </w:r>
      <w:r w:rsidR="004C62A4">
        <w:t>)</w:t>
      </w:r>
      <w:r w:rsidR="00577DCA">
        <w:t>. But should markets continue higher</w:t>
      </w:r>
      <w:r w:rsidR="00FD4D9F">
        <w:t xml:space="preserve"> while economic readings continue to </w:t>
      </w:r>
      <w:r w:rsidR="00CB5E1D">
        <w:t>deteriorate</w:t>
      </w:r>
      <w:r w:rsidR="00FD4D9F">
        <w:t xml:space="preserve">, we would likely </w:t>
      </w:r>
      <w:r w:rsidR="00813796">
        <w:t xml:space="preserve">further </w:t>
      </w:r>
      <w:r w:rsidR="00CB5E1D">
        <w:t xml:space="preserve">reduce risk in portfolios. </w:t>
      </w:r>
    </w:p>
    <w:p w14:paraId="3956BD3A" w14:textId="77777777" w:rsidR="002A2624" w:rsidRDefault="002A2624" w:rsidP="002A2624">
      <w:pPr>
        <w:spacing w:after="160" w:line="259" w:lineRule="auto"/>
        <w:jc w:val="left"/>
      </w:pPr>
    </w:p>
    <w:p w14:paraId="337901F8" w14:textId="77777777" w:rsidR="002A2624" w:rsidRDefault="002A2624" w:rsidP="002A2624">
      <w:pPr>
        <w:spacing w:after="160" w:line="259" w:lineRule="auto"/>
        <w:jc w:val="left"/>
      </w:pPr>
    </w:p>
    <w:p w14:paraId="645F0718" w14:textId="77777777" w:rsidR="002A2624" w:rsidRDefault="002A2624" w:rsidP="002A2624">
      <w:pPr>
        <w:spacing w:after="160" w:line="259" w:lineRule="auto"/>
        <w:jc w:val="left"/>
      </w:pPr>
    </w:p>
    <w:p w14:paraId="29F25401" w14:textId="6725A1B8" w:rsidR="00790ED0" w:rsidRDefault="00980B02" w:rsidP="002A2624">
      <w:pPr>
        <w:spacing w:after="160" w:line="259" w:lineRule="auto"/>
        <w:jc w:val="left"/>
      </w:pPr>
      <w:r w:rsidRPr="00551242">
        <w:rPr>
          <w:b/>
          <w:bCs/>
        </w:rPr>
        <w:lastRenderedPageBreak/>
        <w:t>Important Disclosure</w:t>
      </w:r>
      <w:r>
        <w:t>:</w:t>
      </w:r>
      <w:r w:rsidR="00790ED0" w:rsidRPr="003B6A6E">
        <w:t xml:space="preserve"> For discretionary use by investment professionals</w:t>
      </w:r>
      <w:r w:rsidR="008E1BB4">
        <w:t xml:space="preserve"> only</w:t>
      </w:r>
      <w:r w:rsidR="00790ED0" w:rsidRPr="003B6A6E">
        <w:t xml:space="preserve">. This document is provided by iM Global Partner Fund Management, LLC (“iMGPFM”) for informational purposes only and no statement is to be construed as a solicitation or offer to buy or sell a security, or the rendering of personalized investment advice. There is no agreement or understanding that iMGPFM will provide individual advice to any investor or advisory client in receipt of this document. Certain information constitutes “forward-looking statements” and due to various risks and uncertainties actual events or results may differ from those projected. Some information contained in this report may be derived from sources that we believe to be reliable; however, we do not guarantee the accuracy or timeliness of such information. Past performance may not be indicative of future results and there can be no assurance the views and opinions expressed herein will come to pass. Investing involves risk, including the potential loss of principal. Any reference to a market index is included for illustrative purposes only, as an index is not a security in which an investment can be made. Indexes are unmanaged vehicles that do not account for the deduction of fees and expenses generally associated with investable products. </w:t>
      </w:r>
      <w:r w:rsidR="00790ED0" w:rsidRPr="009158D0">
        <w:t>A list of all recommendations made by iMGPFM within the immediately preceding one year is available upon request at no charge. For additional information about iMGPFM, please consult the Firm’s Form</w:t>
      </w:r>
      <w:r w:rsidR="00790ED0" w:rsidRPr="003B6A6E">
        <w:t xml:space="preserve"> ADV disclosure documents, the most recent versions of which are available on the SEC’s Investment Adviser Public Disclosure website (adviserinfo.sec.gov) and may otherwise be made available upon written request. </w:t>
      </w:r>
    </w:p>
    <w:p w14:paraId="508D76DD" w14:textId="77777777" w:rsidR="00790ED0" w:rsidRDefault="00790ED0" w:rsidP="00790ED0"/>
    <w:p w14:paraId="5E15E795" w14:textId="77777777" w:rsidR="00790ED0" w:rsidRDefault="00790ED0" w:rsidP="00790ED0">
      <w:r w:rsidRPr="005D4788">
        <w:t>The [investor] acknowledges that AdvisorIntelligence is beneficially owned by iM Square SAS, a Paris</w:t>
      </w:r>
      <w:r>
        <w:t xml:space="preserve"> </w:t>
      </w:r>
      <w:r w:rsidRPr="005D4788">
        <w:t>based investment and development platform (“iM Square”). AdvisorIntelligence, from time to time, expects to include in its investment models certain investment funds (collectively, “iM Square Funds”) sponsored or managed by investment advisers in which iM Square has a beneficial ownership interest (“IMGPUS Affiliates”). This arrangement creates a</w:t>
      </w:r>
      <w:r w:rsidR="00EB5753">
        <w:t xml:space="preserve"> </w:t>
      </w:r>
      <w:r w:rsidRPr="005D4788">
        <w:t xml:space="preserve">material conflict of interest because </w:t>
      </w:r>
      <w:r>
        <w:t>A</w:t>
      </w:r>
      <w:r w:rsidRPr="005D4788">
        <w:t>dvisorIntelligence has an incentive to include iM Square Funds in its investment models. IMGPUS Affiliates do not waive fees for these investments. Therefore, assets invested in iM Square Funds will be charged two layers of fees, one by AdvisorIntelligence and another by the iM Square Funds.</w:t>
      </w:r>
    </w:p>
    <w:p w14:paraId="09621D2B" w14:textId="77777777" w:rsidR="00790ED0" w:rsidRDefault="00790ED0" w:rsidP="00790ED0"/>
    <w:p w14:paraId="1405AC87" w14:textId="77777777" w:rsidR="00E67ADB" w:rsidRDefault="00E67ADB" w:rsidP="00E67ADB">
      <w:r>
        <w:t xml:space="preserve">Our due diligence process for managers and funds is grounded in our conviction, supported by extensive research, that skilled managers can and do deliver superior performance over the long term. An essential part of the value we provide is the multiple decades of experience we bring to bear in assessing and selecting exceptionally skilled managers. We engage in exhaustive quantitative and qualitative research aimed at uncovering those select managers with an identifiable and sustainable investing edge. Here are just a few critical elements we look for in our due diligence: </w:t>
      </w:r>
    </w:p>
    <w:p w14:paraId="38B86978" w14:textId="77777777" w:rsidR="00E67ADB" w:rsidRDefault="00E67ADB" w:rsidP="00E67ADB"/>
    <w:p w14:paraId="15B303CD" w14:textId="77777777" w:rsidR="00E67ADB" w:rsidRDefault="00E67ADB" w:rsidP="00E67ADB">
      <w:pPr>
        <w:pStyle w:val="ListParagraph"/>
        <w:numPr>
          <w:ilvl w:val="0"/>
          <w:numId w:val="6"/>
        </w:numPr>
        <w:spacing w:after="100" w:afterAutospacing="1"/>
        <w:jc w:val="left"/>
      </w:pPr>
      <w:r>
        <w:lastRenderedPageBreak/>
        <w:t>A clearly defined and well-articulated investment process supported by evidence of successful implementation over time</w:t>
      </w:r>
    </w:p>
    <w:p w14:paraId="0FA595D5" w14:textId="77777777" w:rsidR="00E67ADB" w:rsidRDefault="00E67ADB" w:rsidP="00E67ADB">
      <w:pPr>
        <w:pStyle w:val="ListParagraph"/>
        <w:numPr>
          <w:ilvl w:val="0"/>
          <w:numId w:val="6"/>
        </w:numPr>
        <w:spacing w:after="100" w:afterAutospacing="1"/>
        <w:jc w:val="left"/>
      </w:pPr>
      <w:r>
        <w:t xml:space="preserve">A manager or team that demonstrates a high level of integrity, intellectual honesty, and a passion for </w:t>
      </w:r>
      <w:proofErr w:type="gramStart"/>
      <w:r>
        <w:t>investing</w:t>
      </w:r>
      <w:proofErr w:type="gramEnd"/>
    </w:p>
    <w:p w14:paraId="5E71D55C" w14:textId="77777777" w:rsidR="00E67ADB" w:rsidRDefault="00E67ADB" w:rsidP="00E67ADB">
      <w:pPr>
        <w:pStyle w:val="ListParagraph"/>
        <w:numPr>
          <w:ilvl w:val="0"/>
          <w:numId w:val="6"/>
        </w:numPr>
        <w:spacing w:after="100" w:afterAutospacing="1"/>
        <w:jc w:val="left"/>
      </w:pPr>
      <w:r>
        <w:t>Supportive team dynamics and a culture that insulates key investment personnel from noninvestment-related responsibilities</w:t>
      </w:r>
    </w:p>
    <w:p w14:paraId="5013011D" w14:textId="77777777" w:rsidR="00E67ADB" w:rsidRDefault="00E67ADB" w:rsidP="00E67ADB">
      <w:pPr>
        <w:pStyle w:val="ListParagraph"/>
        <w:numPr>
          <w:ilvl w:val="0"/>
          <w:numId w:val="6"/>
        </w:numPr>
      </w:pPr>
      <w:r>
        <w:t>Outperformance versus relevant benchmarks and peers that is consistent with our expectations given certain market environments</w:t>
      </w:r>
    </w:p>
    <w:p w14:paraId="041E9573" w14:textId="77777777" w:rsidR="00E67ADB" w:rsidRDefault="00E67ADB" w:rsidP="00E67ADB">
      <w:pPr>
        <w:pStyle w:val="ListParagraph"/>
        <w:numPr>
          <w:ilvl w:val="0"/>
          <w:numId w:val="6"/>
        </w:numPr>
        <w:spacing w:after="100" w:afterAutospacing="1"/>
        <w:jc w:val="left"/>
      </w:pPr>
      <w:r>
        <w:t xml:space="preserve">Consistent outperformance (i.e., over rolling periods) versus benchmarks and peers that is a result of a time-tested investment process </w:t>
      </w:r>
    </w:p>
    <w:p w14:paraId="2457FD13" w14:textId="77777777" w:rsidR="00E67ADB" w:rsidRDefault="00E67ADB" w:rsidP="00E67ADB">
      <w:r>
        <w:t>This rigorous process yields a select list of managers. For those we decide to invest with, our analysis is not a once-and-done exercise. We continue to closely monitor fund performance and investment decisions through regular updates with our managers, aimed at making sure they remain committed to their investment process and disciplined in its execution and is the basis for the opinions shown below.</w:t>
      </w:r>
    </w:p>
    <w:p w14:paraId="5E948064" w14:textId="77777777" w:rsidR="00E67ADB" w:rsidRDefault="00E67ADB" w:rsidP="00E67ADB"/>
    <w:p w14:paraId="020E68E7" w14:textId="77777777" w:rsidR="00E67ADB" w:rsidRDefault="00E67ADB" w:rsidP="00E67ADB">
      <w:r>
        <w:t>Recommended = These are funds we are confident will outperform an index fund alternative over a market cycle.</w:t>
      </w:r>
    </w:p>
    <w:p w14:paraId="7DDB20F5" w14:textId="77777777" w:rsidR="00E67ADB" w:rsidRDefault="00E67ADB" w:rsidP="00E67ADB"/>
    <w:p w14:paraId="5A8C5C4D" w14:textId="77777777" w:rsidR="00E67ADB" w:rsidRDefault="00E67ADB" w:rsidP="00E67ADB">
      <w:r>
        <w:t>Approved+ = Approved funds we are actively researching and consider to be realistic candidates for upgrading to Recommended.</w:t>
      </w:r>
    </w:p>
    <w:p w14:paraId="55BDEC22" w14:textId="77777777" w:rsidR="00E67ADB" w:rsidRDefault="00E67ADB" w:rsidP="00E67ADB"/>
    <w:p w14:paraId="7218BF59" w14:textId="77777777" w:rsidR="00E67ADB" w:rsidRDefault="00E67ADB" w:rsidP="00E67ADB">
      <w:r>
        <w:t>Approved = Funds we believe will perform at least as well as, if not in excess of, an index fund alternative over a market cycle.</w:t>
      </w:r>
    </w:p>
    <w:p w14:paraId="3A71A1DC" w14:textId="77777777" w:rsidR="00E67ADB" w:rsidRDefault="00E67ADB" w:rsidP="00E67ADB"/>
    <w:p w14:paraId="345B3762" w14:textId="7C3429BA" w:rsidR="00E67ADB" w:rsidRDefault="00E67ADB" w:rsidP="00E67ADB">
      <w:r>
        <w:t xml:space="preserve">Noteworthy = Funds we view as promising. The record may be too </w:t>
      </w:r>
      <w:r w:rsidR="00214952">
        <w:t>short,</w:t>
      </w:r>
      <w:r>
        <w:t xml:space="preserve"> or we may need to do additional due diligence before making a final decision on the status (Approved, Recommended) of the fund.</w:t>
      </w:r>
    </w:p>
    <w:p w14:paraId="2A6888DD" w14:textId="77777777" w:rsidR="00E67ADB" w:rsidRDefault="00E67ADB" w:rsidP="00E67ADB"/>
    <w:p w14:paraId="07574D19" w14:textId="77777777" w:rsidR="00E67ADB" w:rsidRDefault="00E67ADB" w:rsidP="00E67ADB">
      <w:r>
        <w:t>Under Review = We are currently conducting follow-up due diligence to address questions that have arisen since our last review. While these questions are material enough to warrant further investigation, we do not feel they are material enough to warrant an immediate downgrade.</w:t>
      </w:r>
    </w:p>
    <w:p w14:paraId="3B355E25" w14:textId="77777777" w:rsidR="00E67ADB" w:rsidRDefault="00E67ADB" w:rsidP="00E67ADB"/>
    <w:p w14:paraId="096995C6" w14:textId="77777777" w:rsidR="00E67ADB" w:rsidRDefault="00E67ADB" w:rsidP="00E67ADB">
      <w:r>
        <w:t>Recommendation - Index Funds &amp; ETFs</w:t>
      </w:r>
    </w:p>
    <w:p w14:paraId="32A388B9" w14:textId="77777777" w:rsidR="00E67ADB" w:rsidRDefault="00E67ADB" w:rsidP="00E67ADB"/>
    <w:p w14:paraId="46C0F919" w14:textId="77777777" w:rsidR="00E67ADB" w:rsidRDefault="00E67ADB" w:rsidP="00E67ADB">
      <w:r>
        <w:t>Core = Funds/ETFs that are our preferred vehicle for gaining index exposure to an asset class. These vehicles are recommended for those who would rather use an index fund in lieu of funds in the model portfolios.</w:t>
      </w:r>
    </w:p>
    <w:p w14:paraId="74211064" w14:textId="77777777" w:rsidR="00E67ADB" w:rsidRDefault="00E67ADB" w:rsidP="00E67ADB"/>
    <w:p w14:paraId="337EC424" w14:textId="77777777" w:rsidR="00E67ADB" w:rsidRDefault="00E67ADB" w:rsidP="00E67ADB">
      <w:r>
        <w:t>Tactical = ETFs and index funds we are currently using or have used in the past for tactical purposes in place of Core funds.</w:t>
      </w:r>
    </w:p>
    <w:p w14:paraId="21375DA4" w14:textId="77777777" w:rsidR="00E67ADB" w:rsidRDefault="00E67ADB" w:rsidP="00E67ADB"/>
    <w:p w14:paraId="641017C5" w14:textId="77777777" w:rsidR="00BC2448" w:rsidRPr="00E67ADB" w:rsidRDefault="00E67ADB" w:rsidP="00790ED0">
      <w:pPr>
        <w:rPr>
          <w:w w:val="110"/>
        </w:rPr>
      </w:pPr>
      <w:r>
        <w:lastRenderedPageBreak/>
        <w:t>Alternative = Funds we believe are acceptable alternatives to Core funds, though they are not our preferred choice due to any number of factors, including expenses, asset base, index construction and methodology, and the experience of the fund sponsor.</w:t>
      </w:r>
    </w:p>
    <w:sectPr w:rsidR="00BC2448" w:rsidRPr="00E67ADB" w:rsidSect="00DD361B">
      <w:headerReference w:type="even" r:id="rId15"/>
      <w:headerReference w:type="default" r:id="rId16"/>
      <w:footerReference w:type="even" r:id="rId17"/>
      <w:footerReference w:type="default" r:id="rId18"/>
      <w:headerReference w:type="first" r:id="rId19"/>
      <w:footerReference w:type="first" r:id="rId20"/>
      <w:pgSz w:w="12240" w:h="15840"/>
      <w:pgMar w:top="2203" w:right="1138" w:bottom="1440" w:left="1138" w:header="144"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F946A" w14:textId="77777777" w:rsidR="002A2624" w:rsidRDefault="002A2624" w:rsidP="004050B6">
      <w:r>
        <w:separator/>
      </w:r>
    </w:p>
  </w:endnote>
  <w:endnote w:type="continuationSeparator" w:id="0">
    <w:p w14:paraId="1BFAF3D5" w14:textId="77777777" w:rsidR="002A2624" w:rsidRDefault="002A2624" w:rsidP="004050B6">
      <w:r>
        <w:continuationSeparator/>
      </w:r>
    </w:p>
  </w:endnote>
  <w:endnote w:type="continuationNotice" w:id="1">
    <w:p w14:paraId="28B64126" w14:textId="77777777" w:rsidR="002A2624" w:rsidRDefault="002A2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53CF" w14:textId="77777777" w:rsidR="002E2804" w:rsidRDefault="002E2804">
    <w:pPr>
      <w:pStyle w:val="Footer"/>
      <w:jc w:val="right"/>
    </w:pPr>
    <w:r>
      <w:fldChar w:fldCharType="begin"/>
    </w:r>
    <w:r>
      <w:instrText>PAGE   \* MERGEFORMAT</w:instrText>
    </w:r>
    <w:r>
      <w:fldChar w:fldCharType="separate"/>
    </w:r>
    <w:r>
      <w:rPr>
        <w:lang w:val="fr-FR"/>
      </w:rPr>
      <w:t>2</w:t>
    </w:r>
    <w:r>
      <w:fldChar w:fldCharType="end"/>
    </w:r>
  </w:p>
  <w:p w14:paraId="080302F8" w14:textId="77777777" w:rsidR="00766881" w:rsidRDefault="00766881">
    <w:pPr>
      <w:pStyle w:val="Footer"/>
    </w:pPr>
  </w:p>
  <w:p w14:paraId="7695A49B" w14:textId="77777777" w:rsidR="00E318D3" w:rsidRDefault="00E318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319295"/>
      <w:docPartObj>
        <w:docPartGallery w:val="Page Numbers (Bottom of Page)"/>
        <w:docPartUnique/>
      </w:docPartObj>
    </w:sdtPr>
    <w:sdtEndPr/>
    <w:sdtContent>
      <w:p w14:paraId="45F9517B" w14:textId="77777777" w:rsidR="00BB653E" w:rsidRDefault="00BB653E">
        <w:pPr>
          <w:pStyle w:val="Footer"/>
          <w:jc w:val="right"/>
          <w:rPr>
            <w:rFonts w:ascii="Arial" w:hAnsi="Arial" w:cs="Arial"/>
            <w:i/>
            <w:iCs/>
            <w:noProof/>
            <w:color w:val="001E27" w:themeColor="text2"/>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BB653E" w:rsidRPr="00DA1583" w14:paraId="4DE5F8E4" w14:textId="77777777">
          <w:trPr>
            <w:trHeight w:val="431"/>
          </w:trPr>
          <w:tc>
            <w:tcPr>
              <w:tcW w:w="9072" w:type="dxa"/>
              <w:vAlign w:val="bottom"/>
            </w:tcPr>
            <w:p w14:paraId="08B7C4BD" w14:textId="77777777" w:rsidR="00E15934" w:rsidRDefault="00E15934" w:rsidP="00BB653E">
              <w:pPr>
                <w:pStyle w:val="Footer"/>
                <w:jc w:val="center"/>
              </w:pPr>
            </w:p>
            <w:p w14:paraId="0D032D1A" w14:textId="77777777" w:rsidR="00BB653E" w:rsidRPr="00C906CC" w:rsidRDefault="00B25685" w:rsidP="00BB653E">
              <w:pPr>
                <w:pStyle w:val="Footer"/>
                <w:jc w:val="center"/>
                <w:rPr>
                  <w:i/>
                  <w:iCs/>
                  <w:sz w:val="22"/>
                  <w:szCs w:val="28"/>
                </w:rPr>
              </w:pPr>
              <w:r>
                <w:rPr>
                  <w:rFonts w:ascii="Arial" w:hAnsi="Arial" w:cs="Arial"/>
                  <w:i/>
                  <w:iCs/>
                  <w:noProof/>
                  <w:color w:val="001E27" w:themeColor="text2"/>
                  <w:szCs w:val="18"/>
                </w:rPr>
                <w:drawing>
                  <wp:anchor distT="0" distB="0" distL="114300" distR="114300" simplePos="0" relativeHeight="251657216" behindDoc="1" locked="0" layoutInCell="1" allowOverlap="1" wp14:anchorId="41F279CE" wp14:editId="035E3567">
                    <wp:simplePos x="0" y="0"/>
                    <wp:positionH relativeFrom="page">
                      <wp:posOffset>-2489835</wp:posOffset>
                    </wp:positionH>
                    <wp:positionV relativeFrom="bottomMargin">
                      <wp:posOffset>-127000</wp:posOffset>
                    </wp:positionV>
                    <wp:extent cx="12977495" cy="2204085"/>
                    <wp:effectExtent l="0" t="0" r="0" b="5715"/>
                    <wp:wrapNone/>
                    <wp:docPr id="477" name="Graphic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7495" cy="2204085"/>
                            </a:xfrm>
                            <a:prstGeom prst="rect">
                              <a:avLst/>
                            </a:prstGeom>
                            <a:ln>
                              <a:noFill/>
                            </a:ln>
                            <a:extLst>
                              <a:ext uri="{53640926-AAD7-44d8-BBD7-CCE9431645EC}">
                                <a14:shadowObscured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hyperlink r:id="rId3" w:history="1">
                <w:r w:rsidR="00BB653E" w:rsidRPr="00C906CC">
                  <w:rPr>
                    <w:rStyle w:val="Hyperlink"/>
                    <w:i/>
                    <w:iCs/>
                    <w:color w:val="003B4A" w:themeColor="text1"/>
                    <w:sz w:val="22"/>
                    <w:szCs w:val="28"/>
                  </w:rPr>
                  <w:t>www.imgp.com</w:t>
                </w:r>
              </w:hyperlink>
              <w:r w:rsidR="00BB653E" w:rsidRPr="00C906CC">
                <w:rPr>
                  <w:i/>
                  <w:iCs/>
                  <w:sz w:val="22"/>
                  <w:szCs w:val="28"/>
                </w:rPr>
                <w:t xml:space="preserve"> </w:t>
              </w:r>
            </w:p>
          </w:tc>
        </w:tr>
        <w:tr w:rsidR="00BB653E" w14:paraId="6DA33300" w14:textId="77777777">
          <w:trPr>
            <w:trHeight w:val="431"/>
          </w:trPr>
          <w:tc>
            <w:tcPr>
              <w:tcW w:w="9072" w:type="dxa"/>
              <w:vAlign w:val="bottom"/>
            </w:tcPr>
            <w:p w14:paraId="0A8A1062" w14:textId="77777777" w:rsidR="00BB653E" w:rsidRDefault="00BB653E" w:rsidP="004F4E73">
              <w:pPr>
                <w:pStyle w:val="Footer"/>
              </w:pPr>
            </w:p>
          </w:tc>
        </w:tr>
        <w:tr w:rsidR="00482F14" w:rsidRPr="00BE7529" w14:paraId="795301C2" w14:textId="77777777" w:rsidTr="00482F14">
          <w:trPr>
            <w:trHeight w:val="80"/>
          </w:trPr>
          <w:tc>
            <w:tcPr>
              <w:tcW w:w="9072" w:type="dxa"/>
              <w:vAlign w:val="bottom"/>
            </w:tcPr>
            <w:p w14:paraId="28E87812" w14:textId="5AFFCA1D" w:rsidR="00482F14" w:rsidRPr="00BE7529" w:rsidRDefault="00434212" w:rsidP="00482F14">
              <w:pPr>
                <w:pStyle w:val="Footer"/>
                <w:jc w:val="center"/>
              </w:pPr>
              <w:sdt>
                <w:sdtPr>
                  <w:alias w:val="Titre "/>
                  <w:tag w:val=""/>
                  <w:id w:val="-177356889"/>
                  <w:dataBinding w:prefixMappings="xmlns:ns0='http://purl.org/dc/elements/1.1/' xmlns:ns1='http://schemas.openxmlformats.org/package/2006/metadata/core-properties' " w:xpath="/ns1:coreProperties[1]/ns0:title[1]" w:storeItemID="{6C3C8BC8-F283-45AE-878A-BAB7291924A1}"/>
                  <w:text/>
                </w:sdtPr>
                <w:sdtEndPr/>
                <w:sdtContent>
                  <w:r w:rsidR="002A2624">
                    <w:t>Monthly Market Update</w:t>
                  </w:r>
                </w:sdtContent>
              </w:sdt>
              <w:r w:rsidR="00482F14" w:rsidRPr="00BE7529">
                <w:t xml:space="preserve"> </w:t>
              </w:r>
              <w:r w:rsidR="00201366">
                <w:t>–</w:t>
              </w:r>
              <w:r w:rsidR="00482F14" w:rsidRPr="00BE7529">
                <w:t xml:space="preserve"> </w:t>
              </w:r>
              <w:sdt>
                <w:sdtPr>
                  <w:alias w:val="Date de publication"/>
                  <w:tag w:val=""/>
                  <w:id w:val="1207297987"/>
                  <w:dataBinding w:prefixMappings="xmlns:ns0='http://schemas.microsoft.com/office/2006/coverPageProps' " w:xpath="/ns0:CoverPageProperties[1]/ns0:PublishDate[1]" w:storeItemID="{55AF091B-3C7A-41E3-B477-F2FDAA23CFDA}"/>
                  <w:date w:fullDate="2023-05-01T00:00:00Z">
                    <w:dateFormat w:val="MMMM yyyy"/>
                    <w:lid w:val="en-US"/>
                    <w:storeMappedDataAs w:val="dateTime"/>
                    <w:calendar w:val="gregorian"/>
                  </w:date>
                </w:sdtPr>
                <w:sdtEndPr/>
                <w:sdtContent>
                  <w:r w:rsidR="00737D05">
                    <w:t>M</w:t>
                  </w:r>
                  <w:r w:rsidR="00551242">
                    <w:t>ay</w:t>
                  </w:r>
                  <w:r w:rsidR="00737D05">
                    <w:t xml:space="preserve"> 2023</w:t>
                  </w:r>
                </w:sdtContent>
              </w:sdt>
            </w:p>
          </w:tc>
        </w:tr>
        <w:tr w:rsidR="00482F14" w:rsidRPr="00F35098" w14:paraId="0043A08D" w14:textId="77777777" w:rsidTr="000E39AC">
          <w:trPr>
            <w:trHeight w:val="431"/>
          </w:trPr>
          <w:tc>
            <w:tcPr>
              <w:tcW w:w="9072" w:type="dxa"/>
            </w:tcPr>
            <w:p w14:paraId="00776AAA" w14:textId="77777777" w:rsidR="003212A7" w:rsidRPr="003212A7" w:rsidRDefault="00482F14" w:rsidP="003212A7">
              <w:pPr>
                <w:pStyle w:val="Footer"/>
                <w:jc w:val="center"/>
                <w:rPr>
                  <w:szCs w:val="16"/>
                </w:rPr>
              </w:pPr>
              <w:r w:rsidRPr="00BD6846">
                <w:rPr>
                  <w:szCs w:val="16"/>
                </w:rPr>
                <w:t xml:space="preserve">For </w:t>
              </w:r>
              <w:r>
                <w:rPr>
                  <w:szCs w:val="16"/>
                </w:rPr>
                <w:t>P</w:t>
              </w:r>
              <w:r w:rsidRPr="00BD6846">
                <w:rPr>
                  <w:szCs w:val="16"/>
                </w:rPr>
                <w:t xml:space="preserve">rofessional </w:t>
              </w:r>
              <w:r>
                <w:rPr>
                  <w:szCs w:val="16"/>
                </w:rPr>
                <w:t>C</w:t>
              </w:r>
              <w:r w:rsidRPr="00BD6846">
                <w:rPr>
                  <w:szCs w:val="16"/>
                </w:rPr>
                <w:t xml:space="preserve">lients </w:t>
              </w:r>
              <w:r>
                <w:rPr>
                  <w:szCs w:val="16"/>
                </w:rPr>
                <w:t>O</w:t>
              </w:r>
              <w:r w:rsidRPr="00BD6846">
                <w:rPr>
                  <w:szCs w:val="16"/>
                </w:rPr>
                <w:t>nly</w:t>
              </w:r>
            </w:p>
          </w:tc>
        </w:tr>
      </w:tbl>
      <w:p w14:paraId="3D72FBD1" w14:textId="77777777" w:rsidR="00766881" w:rsidRDefault="00766881">
        <w:pPr>
          <w:pStyle w:val="Footer"/>
          <w:jc w:val="right"/>
        </w:pPr>
        <w:r>
          <w:fldChar w:fldCharType="begin"/>
        </w:r>
        <w:r>
          <w:instrText>PAGE   \* MERGEFORMAT</w:instrText>
        </w:r>
        <w:r>
          <w:fldChar w:fldCharType="separate"/>
        </w:r>
        <w:r>
          <w:rPr>
            <w:lang w:val="fr-FR"/>
          </w:rPr>
          <w:t>2</w:t>
        </w:r>
        <w:r>
          <w:fldChar w:fldCharType="end"/>
        </w:r>
      </w:p>
    </w:sdtContent>
  </w:sdt>
  <w:p w14:paraId="7F3367E9" w14:textId="77777777" w:rsidR="00DA1583" w:rsidRPr="00766881" w:rsidRDefault="00DA1583" w:rsidP="00766881">
    <w:pPr>
      <w:pStyle w:val="Footer"/>
    </w:pPr>
  </w:p>
  <w:p w14:paraId="7226480F" w14:textId="77777777" w:rsidR="00E318D3" w:rsidRDefault="00E318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66FD" w14:textId="77777777" w:rsidR="00551242" w:rsidRDefault="00551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5D8B6" w14:textId="77777777" w:rsidR="002A2624" w:rsidRDefault="002A2624" w:rsidP="004050B6">
      <w:r>
        <w:separator/>
      </w:r>
    </w:p>
  </w:footnote>
  <w:footnote w:type="continuationSeparator" w:id="0">
    <w:p w14:paraId="38D1FF26" w14:textId="77777777" w:rsidR="002A2624" w:rsidRDefault="002A2624" w:rsidP="004050B6">
      <w:r>
        <w:continuationSeparator/>
      </w:r>
    </w:p>
  </w:footnote>
  <w:footnote w:type="continuationNotice" w:id="1">
    <w:p w14:paraId="19F8927C" w14:textId="77777777" w:rsidR="002A2624" w:rsidRDefault="002A2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90F9" w14:textId="77777777" w:rsidR="004C2AFD" w:rsidRDefault="004C2AFD">
    <w:pPr>
      <w:pStyle w:val="Header"/>
    </w:pPr>
  </w:p>
  <w:p w14:paraId="2A7F6252" w14:textId="77777777" w:rsidR="00E318D3" w:rsidRDefault="00E318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5189" w14:textId="77777777" w:rsidR="00766881" w:rsidRDefault="009B2069" w:rsidP="00BF5C27">
    <w:pPr>
      <w:pStyle w:val="Header"/>
    </w:pPr>
    <w:r w:rsidRPr="00320F65">
      <w:rPr>
        <w:b/>
        <w:bCs/>
        <w:noProof/>
        <w:color w:val="003A4A"/>
      </w:rPr>
      <w:drawing>
        <wp:anchor distT="0" distB="0" distL="114300" distR="114300" simplePos="0" relativeHeight="251655680" behindDoc="1" locked="0" layoutInCell="1" allowOverlap="1" wp14:anchorId="0B049481" wp14:editId="4B331FF7">
          <wp:simplePos x="0" y="0"/>
          <wp:positionH relativeFrom="page">
            <wp:posOffset>-218990</wp:posOffset>
          </wp:positionH>
          <wp:positionV relativeFrom="margin">
            <wp:posOffset>-4721533</wp:posOffset>
          </wp:positionV>
          <wp:extent cx="10117676" cy="5431159"/>
          <wp:effectExtent l="152400" t="0" r="0" b="0"/>
          <wp:wrapNone/>
          <wp:docPr id="474" name="Graphic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14319">
                    <a:off x="0" y="0"/>
                    <a:ext cx="10125062" cy="5435124"/>
                  </a:xfrm>
                  <a:prstGeom prst="rect">
                    <a:avLst/>
                  </a:prstGeom>
                </pic:spPr>
              </pic:pic>
            </a:graphicData>
          </a:graphic>
          <wp14:sizeRelH relativeFrom="margin">
            <wp14:pctWidth>0</wp14:pctWidth>
          </wp14:sizeRelH>
          <wp14:sizeRelV relativeFrom="margin">
            <wp14:pctHeight>0</wp14:pctHeight>
          </wp14:sizeRelV>
        </wp:anchor>
      </w:drawing>
    </w:r>
  </w:p>
  <w:p w14:paraId="7F75BE45" w14:textId="77777777" w:rsidR="009B2069" w:rsidRDefault="009B2069" w:rsidP="00BF5C27">
    <w:pPr>
      <w:pStyle w:val="Header"/>
    </w:pPr>
    <w:r w:rsidRPr="009B2069">
      <w:rPr>
        <w:noProof/>
      </w:rPr>
      <w:drawing>
        <wp:anchor distT="0" distB="0" distL="0" distR="0" simplePos="0" relativeHeight="251658752" behindDoc="1" locked="0" layoutInCell="1" allowOverlap="1" wp14:anchorId="2B3BF21B" wp14:editId="50336EC2">
          <wp:simplePos x="0" y="0"/>
          <wp:positionH relativeFrom="page">
            <wp:posOffset>720090</wp:posOffset>
          </wp:positionH>
          <wp:positionV relativeFrom="page">
            <wp:posOffset>255270</wp:posOffset>
          </wp:positionV>
          <wp:extent cx="822960" cy="822960"/>
          <wp:effectExtent l="0" t="0" r="0" b="0"/>
          <wp:wrapNone/>
          <wp:docPr id="475" name="Picture 4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al user interface, application&#10;&#10;Description automatically generated"/>
                  <pic:cNvPicPr/>
                </pic:nvPicPr>
                <pic:blipFill>
                  <a:blip r:embed="rId3" cstate="print"/>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Pr="009B2069">
      <w:rPr>
        <w:noProof/>
      </w:rPr>
      <w:drawing>
        <wp:anchor distT="0" distB="0" distL="114300" distR="114300" simplePos="0" relativeHeight="251661824" behindDoc="1" locked="0" layoutInCell="1" allowOverlap="1" wp14:anchorId="323BB969" wp14:editId="602CE71C">
          <wp:simplePos x="0" y="0"/>
          <wp:positionH relativeFrom="column">
            <wp:posOffset>984885</wp:posOffset>
          </wp:positionH>
          <wp:positionV relativeFrom="paragraph">
            <wp:posOffset>107950</wp:posOffset>
          </wp:positionV>
          <wp:extent cx="1828800" cy="813435"/>
          <wp:effectExtent l="0" t="0" r="0" b="0"/>
          <wp:wrapNone/>
          <wp:docPr id="476" name="Picture 476" descr="Logo&#10;&#10;Description automatically generated">
            <a:extLst xmlns:a="http://schemas.openxmlformats.org/drawingml/2006/main">
              <a:ext uri="{FF2B5EF4-FFF2-40B4-BE49-F238E27FC236}">
                <a16:creationId xmlns:a16="http://schemas.microsoft.com/office/drawing/2014/main" id="{63FD00A2-D6D6-4EE1-9CE5-066D40C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63FD00A2-D6D6-4EE1-9CE5-066D40CAE86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28800" cy="813435"/>
                  </a:xfrm>
                  <a:prstGeom prst="rect">
                    <a:avLst/>
                  </a:prstGeom>
                </pic:spPr>
              </pic:pic>
            </a:graphicData>
          </a:graphic>
          <wp14:sizeRelH relativeFrom="page">
            <wp14:pctWidth>0</wp14:pctWidth>
          </wp14:sizeRelH>
          <wp14:sizeRelV relativeFrom="page">
            <wp14:pctHeight>0</wp14:pctHeight>
          </wp14:sizeRelV>
        </wp:anchor>
      </w:drawing>
    </w:r>
  </w:p>
  <w:p w14:paraId="63116489" w14:textId="77777777" w:rsidR="009B2069" w:rsidRDefault="009B2069" w:rsidP="00BF5C27">
    <w:pPr>
      <w:pStyle w:val="Header"/>
      <w:rPr>
        <w:sz w:val="16"/>
        <w:szCs w:val="16"/>
      </w:rPr>
    </w:pPr>
  </w:p>
  <w:p w14:paraId="2D4AC532" w14:textId="53CFD452" w:rsidR="009B2069" w:rsidRPr="006D561D" w:rsidRDefault="00B36EFB" w:rsidP="006D561D">
    <w:pPr>
      <w:pStyle w:val="Header"/>
      <w:jc w:val="right"/>
    </w:pPr>
    <w:r>
      <w:t>May</w:t>
    </w:r>
    <w:r w:rsidR="004C2AFD">
      <w:t xml:space="preserve"> 2023</w:t>
    </w:r>
  </w:p>
  <w:p w14:paraId="287BD872" w14:textId="77777777" w:rsidR="00F01832" w:rsidRDefault="00713681" w:rsidP="006D561D">
    <w:pPr>
      <w:pStyle w:val="Header"/>
      <w:tabs>
        <w:tab w:val="clear" w:pos="4513"/>
        <w:tab w:val="clear" w:pos="9026"/>
        <w:tab w:val="left" w:pos="6017"/>
        <w:tab w:val="left" w:pos="7605"/>
      </w:tabs>
    </w:pPr>
    <w:r>
      <w:tab/>
    </w:r>
    <w:r w:rsidR="006D561D">
      <w:tab/>
    </w:r>
  </w:p>
  <w:p w14:paraId="322B599E" w14:textId="77777777" w:rsidR="00E318D3" w:rsidRDefault="00E318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B32" w14:textId="77777777" w:rsidR="00551242" w:rsidRDefault="00551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07421"/>
    <w:multiLevelType w:val="hybridMultilevel"/>
    <w:tmpl w:val="ABAA02FC"/>
    <w:lvl w:ilvl="0" w:tplc="18F03932">
      <w:numFmt w:val="bullet"/>
      <w:lvlText w:val="-"/>
      <w:lvlJc w:val="left"/>
      <w:pPr>
        <w:ind w:left="720" w:hanging="360"/>
      </w:pPr>
      <w:rPr>
        <w:rFonts w:ascii="Trebuchet MS" w:eastAsiaTheme="minorHAnsi" w:hAnsi="Trebuchet M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D418F"/>
    <w:multiLevelType w:val="hybridMultilevel"/>
    <w:tmpl w:val="894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777A3"/>
    <w:multiLevelType w:val="hybridMultilevel"/>
    <w:tmpl w:val="11962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B5B0E99"/>
    <w:multiLevelType w:val="hybridMultilevel"/>
    <w:tmpl w:val="552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43D0C"/>
    <w:multiLevelType w:val="multilevel"/>
    <w:tmpl w:val="7B1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C4B15"/>
    <w:multiLevelType w:val="multilevel"/>
    <w:tmpl w:val="5702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067D8"/>
    <w:multiLevelType w:val="hybridMultilevel"/>
    <w:tmpl w:val="E2B0F8B4"/>
    <w:lvl w:ilvl="0" w:tplc="7A6641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8F42813"/>
    <w:multiLevelType w:val="hybridMultilevel"/>
    <w:tmpl w:val="E9641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5643060">
    <w:abstractNumId w:val="2"/>
  </w:num>
  <w:num w:numId="2" w16cid:durableId="185677178">
    <w:abstractNumId w:val="4"/>
  </w:num>
  <w:num w:numId="3" w16cid:durableId="1834905957">
    <w:abstractNumId w:val="7"/>
  </w:num>
  <w:num w:numId="4" w16cid:durableId="600603508">
    <w:abstractNumId w:val="3"/>
  </w:num>
  <w:num w:numId="5" w16cid:durableId="1721515286">
    <w:abstractNumId w:val="5"/>
  </w:num>
  <w:num w:numId="6" w16cid:durableId="1929070797">
    <w:abstractNumId w:val="6"/>
  </w:num>
  <w:num w:numId="7" w16cid:durableId="1560827010">
    <w:abstractNumId w:val="0"/>
  </w:num>
  <w:num w:numId="8" w16cid:durableId="153284270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2NzewtDA1N7QwMbVQ0lEKTi0uzszPAykwqwUAiDT5rywAAAA="/>
  </w:docVars>
  <w:rsids>
    <w:rsidRoot w:val="00C45919"/>
    <w:rsid w:val="00003539"/>
    <w:rsid w:val="00003B94"/>
    <w:rsid w:val="00004059"/>
    <w:rsid w:val="00004CE6"/>
    <w:rsid w:val="00004E59"/>
    <w:rsid w:val="00006376"/>
    <w:rsid w:val="000079F5"/>
    <w:rsid w:val="00010291"/>
    <w:rsid w:val="000103BC"/>
    <w:rsid w:val="00010DEC"/>
    <w:rsid w:val="00010E73"/>
    <w:rsid w:val="000114EF"/>
    <w:rsid w:val="00011B9F"/>
    <w:rsid w:val="000123D1"/>
    <w:rsid w:val="000136ED"/>
    <w:rsid w:val="00017E89"/>
    <w:rsid w:val="00023B4A"/>
    <w:rsid w:val="00024BCE"/>
    <w:rsid w:val="000268B5"/>
    <w:rsid w:val="00027F5A"/>
    <w:rsid w:val="000303FC"/>
    <w:rsid w:val="00030A3B"/>
    <w:rsid w:val="00030E61"/>
    <w:rsid w:val="00033793"/>
    <w:rsid w:val="000350A4"/>
    <w:rsid w:val="00041CBA"/>
    <w:rsid w:val="00042CF7"/>
    <w:rsid w:val="000466E2"/>
    <w:rsid w:val="00047C46"/>
    <w:rsid w:val="0005372C"/>
    <w:rsid w:val="00053E14"/>
    <w:rsid w:val="0005646D"/>
    <w:rsid w:val="000565E1"/>
    <w:rsid w:val="00060606"/>
    <w:rsid w:val="00060ADA"/>
    <w:rsid w:val="00061DDA"/>
    <w:rsid w:val="00062AA8"/>
    <w:rsid w:val="00063943"/>
    <w:rsid w:val="00063AD7"/>
    <w:rsid w:val="00063D16"/>
    <w:rsid w:val="00063F5F"/>
    <w:rsid w:val="0006504B"/>
    <w:rsid w:val="00065195"/>
    <w:rsid w:val="000678DB"/>
    <w:rsid w:val="0007137D"/>
    <w:rsid w:val="00071A14"/>
    <w:rsid w:val="00074511"/>
    <w:rsid w:val="00075F8B"/>
    <w:rsid w:val="0008086D"/>
    <w:rsid w:val="00080D53"/>
    <w:rsid w:val="0008251A"/>
    <w:rsid w:val="0008284C"/>
    <w:rsid w:val="000828F1"/>
    <w:rsid w:val="00082A59"/>
    <w:rsid w:val="00082D7B"/>
    <w:rsid w:val="00084877"/>
    <w:rsid w:val="00090C46"/>
    <w:rsid w:val="000910C0"/>
    <w:rsid w:val="00092E65"/>
    <w:rsid w:val="0009394C"/>
    <w:rsid w:val="000954AD"/>
    <w:rsid w:val="00096FC4"/>
    <w:rsid w:val="00097881"/>
    <w:rsid w:val="000A02A9"/>
    <w:rsid w:val="000A4576"/>
    <w:rsid w:val="000A4B9A"/>
    <w:rsid w:val="000A4F08"/>
    <w:rsid w:val="000A5F78"/>
    <w:rsid w:val="000A7EC9"/>
    <w:rsid w:val="000B06C2"/>
    <w:rsid w:val="000B0C8E"/>
    <w:rsid w:val="000B2261"/>
    <w:rsid w:val="000B2AF3"/>
    <w:rsid w:val="000B3DE6"/>
    <w:rsid w:val="000B6205"/>
    <w:rsid w:val="000C153D"/>
    <w:rsid w:val="000C3977"/>
    <w:rsid w:val="000C3B2C"/>
    <w:rsid w:val="000C4232"/>
    <w:rsid w:val="000C7472"/>
    <w:rsid w:val="000D1093"/>
    <w:rsid w:val="000D7B44"/>
    <w:rsid w:val="000E1B22"/>
    <w:rsid w:val="000E2ACC"/>
    <w:rsid w:val="000E39AC"/>
    <w:rsid w:val="000E469A"/>
    <w:rsid w:val="000E6192"/>
    <w:rsid w:val="000E6706"/>
    <w:rsid w:val="000F583B"/>
    <w:rsid w:val="000F5981"/>
    <w:rsid w:val="00100184"/>
    <w:rsid w:val="00100C68"/>
    <w:rsid w:val="00101D77"/>
    <w:rsid w:val="001028F6"/>
    <w:rsid w:val="001042FE"/>
    <w:rsid w:val="00105152"/>
    <w:rsid w:val="00105348"/>
    <w:rsid w:val="00114BE4"/>
    <w:rsid w:val="001150F3"/>
    <w:rsid w:val="00120777"/>
    <w:rsid w:val="00120D16"/>
    <w:rsid w:val="0012457F"/>
    <w:rsid w:val="00124EEE"/>
    <w:rsid w:val="00125834"/>
    <w:rsid w:val="00126BA7"/>
    <w:rsid w:val="00127513"/>
    <w:rsid w:val="00130ECE"/>
    <w:rsid w:val="001314F7"/>
    <w:rsid w:val="00131FB6"/>
    <w:rsid w:val="00133BCB"/>
    <w:rsid w:val="001348EB"/>
    <w:rsid w:val="001411D3"/>
    <w:rsid w:val="00142124"/>
    <w:rsid w:val="00143D30"/>
    <w:rsid w:val="00146FF0"/>
    <w:rsid w:val="00147222"/>
    <w:rsid w:val="00147E7C"/>
    <w:rsid w:val="001503D1"/>
    <w:rsid w:val="0015075D"/>
    <w:rsid w:val="00150D12"/>
    <w:rsid w:val="00153326"/>
    <w:rsid w:val="0015478D"/>
    <w:rsid w:val="001555C3"/>
    <w:rsid w:val="00156E0B"/>
    <w:rsid w:val="00157A7C"/>
    <w:rsid w:val="00162014"/>
    <w:rsid w:val="001630E3"/>
    <w:rsid w:val="00166F2F"/>
    <w:rsid w:val="001705CE"/>
    <w:rsid w:val="00172A0E"/>
    <w:rsid w:val="0017571B"/>
    <w:rsid w:val="00176AB1"/>
    <w:rsid w:val="00177A79"/>
    <w:rsid w:val="00181B69"/>
    <w:rsid w:val="00181C77"/>
    <w:rsid w:val="00182738"/>
    <w:rsid w:val="001844F7"/>
    <w:rsid w:val="00184D22"/>
    <w:rsid w:val="00184F07"/>
    <w:rsid w:val="00185AEE"/>
    <w:rsid w:val="00186569"/>
    <w:rsid w:val="0019015F"/>
    <w:rsid w:val="001914EB"/>
    <w:rsid w:val="00191A1B"/>
    <w:rsid w:val="00192B0E"/>
    <w:rsid w:val="00192DB6"/>
    <w:rsid w:val="001950A2"/>
    <w:rsid w:val="001A38A0"/>
    <w:rsid w:val="001A4D16"/>
    <w:rsid w:val="001A4F11"/>
    <w:rsid w:val="001A5B0C"/>
    <w:rsid w:val="001A69AC"/>
    <w:rsid w:val="001A774D"/>
    <w:rsid w:val="001B3E55"/>
    <w:rsid w:val="001B517C"/>
    <w:rsid w:val="001B6BA3"/>
    <w:rsid w:val="001B70F5"/>
    <w:rsid w:val="001B74AF"/>
    <w:rsid w:val="001C0A33"/>
    <w:rsid w:val="001C52BB"/>
    <w:rsid w:val="001C5436"/>
    <w:rsid w:val="001C69D5"/>
    <w:rsid w:val="001D0B1E"/>
    <w:rsid w:val="001D1C3A"/>
    <w:rsid w:val="001D2337"/>
    <w:rsid w:val="001D62D6"/>
    <w:rsid w:val="001D6BFC"/>
    <w:rsid w:val="001D6DCF"/>
    <w:rsid w:val="001E0164"/>
    <w:rsid w:val="001E52F1"/>
    <w:rsid w:val="001E63C3"/>
    <w:rsid w:val="001E6A79"/>
    <w:rsid w:val="001F56D1"/>
    <w:rsid w:val="001F5F7F"/>
    <w:rsid w:val="001F6FEF"/>
    <w:rsid w:val="001F7894"/>
    <w:rsid w:val="001F7DC3"/>
    <w:rsid w:val="002000AF"/>
    <w:rsid w:val="00200D91"/>
    <w:rsid w:val="00201366"/>
    <w:rsid w:val="00201554"/>
    <w:rsid w:val="002021BE"/>
    <w:rsid w:val="002023E5"/>
    <w:rsid w:val="00203BA7"/>
    <w:rsid w:val="00205C57"/>
    <w:rsid w:val="00206987"/>
    <w:rsid w:val="00211046"/>
    <w:rsid w:val="00211821"/>
    <w:rsid w:val="002139FD"/>
    <w:rsid w:val="00213D11"/>
    <w:rsid w:val="002147CF"/>
    <w:rsid w:val="00214952"/>
    <w:rsid w:val="0021664B"/>
    <w:rsid w:val="002209C3"/>
    <w:rsid w:val="00220DCF"/>
    <w:rsid w:val="0022181E"/>
    <w:rsid w:val="00222E68"/>
    <w:rsid w:val="00222EC2"/>
    <w:rsid w:val="00223DB5"/>
    <w:rsid w:val="00226717"/>
    <w:rsid w:val="002274C7"/>
    <w:rsid w:val="002300FD"/>
    <w:rsid w:val="00231472"/>
    <w:rsid w:val="00232E21"/>
    <w:rsid w:val="002334D6"/>
    <w:rsid w:val="002352AB"/>
    <w:rsid w:val="0024085F"/>
    <w:rsid w:val="00241EBD"/>
    <w:rsid w:val="00242003"/>
    <w:rsid w:val="002423CE"/>
    <w:rsid w:val="00242B92"/>
    <w:rsid w:val="0024374B"/>
    <w:rsid w:val="002465DD"/>
    <w:rsid w:val="002510B4"/>
    <w:rsid w:val="002513C5"/>
    <w:rsid w:val="00252006"/>
    <w:rsid w:val="002524BB"/>
    <w:rsid w:val="00255BCF"/>
    <w:rsid w:val="00260548"/>
    <w:rsid w:val="00260A26"/>
    <w:rsid w:val="00261E8A"/>
    <w:rsid w:val="002622E3"/>
    <w:rsid w:val="0026255B"/>
    <w:rsid w:val="00262AFC"/>
    <w:rsid w:val="002635EE"/>
    <w:rsid w:val="002641BC"/>
    <w:rsid w:val="00266BFB"/>
    <w:rsid w:val="00274AA2"/>
    <w:rsid w:val="002752E4"/>
    <w:rsid w:val="00291153"/>
    <w:rsid w:val="00291CFE"/>
    <w:rsid w:val="002A07A8"/>
    <w:rsid w:val="002A18C2"/>
    <w:rsid w:val="002A2624"/>
    <w:rsid w:val="002A32EF"/>
    <w:rsid w:val="002A60F6"/>
    <w:rsid w:val="002A6689"/>
    <w:rsid w:val="002A6EB4"/>
    <w:rsid w:val="002A754D"/>
    <w:rsid w:val="002A7B6E"/>
    <w:rsid w:val="002A7D6D"/>
    <w:rsid w:val="002B0507"/>
    <w:rsid w:val="002B3F9B"/>
    <w:rsid w:val="002B42E5"/>
    <w:rsid w:val="002C372F"/>
    <w:rsid w:val="002C6457"/>
    <w:rsid w:val="002D0790"/>
    <w:rsid w:val="002D17D7"/>
    <w:rsid w:val="002D2342"/>
    <w:rsid w:val="002D2381"/>
    <w:rsid w:val="002D53C2"/>
    <w:rsid w:val="002D73AB"/>
    <w:rsid w:val="002D782D"/>
    <w:rsid w:val="002E0B3F"/>
    <w:rsid w:val="002E11A8"/>
    <w:rsid w:val="002E2804"/>
    <w:rsid w:val="002E3E1D"/>
    <w:rsid w:val="002E40E2"/>
    <w:rsid w:val="002E4F84"/>
    <w:rsid w:val="002E5123"/>
    <w:rsid w:val="002E557A"/>
    <w:rsid w:val="002E56C7"/>
    <w:rsid w:val="002E716B"/>
    <w:rsid w:val="002E7EC6"/>
    <w:rsid w:val="002F27C7"/>
    <w:rsid w:val="002F2DD2"/>
    <w:rsid w:val="002F3676"/>
    <w:rsid w:val="002F56F0"/>
    <w:rsid w:val="002F5CCC"/>
    <w:rsid w:val="002F76C2"/>
    <w:rsid w:val="00303DAA"/>
    <w:rsid w:val="00305BA9"/>
    <w:rsid w:val="003061C1"/>
    <w:rsid w:val="0031039F"/>
    <w:rsid w:val="00311499"/>
    <w:rsid w:val="0031460F"/>
    <w:rsid w:val="00320F65"/>
    <w:rsid w:val="003212A7"/>
    <w:rsid w:val="00322C60"/>
    <w:rsid w:val="0032449B"/>
    <w:rsid w:val="003248D9"/>
    <w:rsid w:val="00324B91"/>
    <w:rsid w:val="003274AF"/>
    <w:rsid w:val="00330062"/>
    <w:rsid w:val="003312E6"/>
    <w:rsid w:val="003318B0"/>
    <w:rsid w:val="003347C9"/>
    <w:rsid w:val="003365C1"/>
    <w:rsid w:val="00342C9D"/>
    <w:rsid w:val="00343DC2"/>
    <w:rsid w:val="003459AE"/>
    <w:rsid w:val="00351AD4"/>
    <w:rsid w:val="0035426E"/>
    <w:rsid w:val="003566D9"/>
    <w:rsid w:val="00357564"/>
    <w:rsid w:val="003601B4"/>
    <w:rsid w:val="00360305"/>
    <w:rsid w:val="0036145F"/>
    <w:rsid w:val="00363191"/>
    <w:rsid w:val="00363E66"/>
    <w:rsid w:val="003643D3"/>
    <w:rsid w:val="00365B31"/>
    <w:rsid w:val="0037056A"/>
    <w:rsid w:val="003707FD"/>
    <w:rsid w:val="003717AD"/>
    <w:rsid w:val="00371B9B"/>
    <w:rsid w:val="00371F2A"/>
    <w:rsid w:val="00375B84"/>
    <w:rsid w:val="0037723D"/>
    <w:rsid w:val="003775B2"/>
    <w:rsid w:val="00380F50"/>
    <w:rsid w:val="00384E6D"/>
    <w:rsid w:val="00391AC3"/>
    <w:rsid w:val="003946D8"/>
    <w:rsid w:val="0039605C"/>
    <w:rsid w:val="003976AD"/>
    <w:rsid w:val="003A149D"/>
    <w:rsid w:val="003A1E9C"/>
    <w:rsid w:val="003A2185"/>
    <w:rsid w:val="003A2363"/>
    <w:rsid w:val="003A5A42"/>
    <w:rsid w:val="003A5A74"/>
    <w:rsid w:val="003B0D13"/>
    <w:rsid w:val="003B2A03"/>
    <w:rsid w:val="003B3527"/>
    <w:rsid w:val="003B6A97"/>
    <w:rsid w:val="003C022E"/>
    <w:rsid w:val="003C023E"/>
    <w:rsid w:val="003C18FD"/>
    <w:rsid w:val="003C29FF"/>
    <w:rsid w:val="003C6AE9"/>
    <w:rsid w:val="003C6DEC"/>
    <w:rsid w:val="003D0A13"/>
    <w:rsid w:val="003D185D"/>
    <w:rsid w:val="003D280B"/>
    <w:rsid w:val="003D2E47"/>
    <w:rsid w:val="003D40A6"/>
    <w:rsid w:val="003D50A2"/>
    <w:rsid w:val="003D5167"/>
    <w:rsid w:val="003D623B"/>
    <w:rsid w:val="003E03CF"/>
    <w:rsid w:val="003E0A77"/>
    <w:rsid w:val="003E1EA8"/>
    <w:rsid w:val="003E32BD"/>
    <w:rsid w:val="003F0F01"/>
    <w:rsid w:val="003F18B2"/>
    <w:rsid w:val="003F3876"/>
    <w:rsid w:val="003F74F8"/>
    <w:rsid w:val="003F7731"/>
    <w:rsid w:val="00400E6B"/>
    <w:rsid w:val="004033FC"/>
    <w:rsid w:val="004050B6"/>
    <w:rsid w:val="00407869"/>
    <w:rsid w:val="00407F98"/>
    <w:rsid w:val="00410143"/>
    <w:rsid w:val="00410AB1"/>
    <w:rsid w:val="0041196E"/>
    <w:rsid w:val="00413D45"/>
    <w:rsid w:val="00416654"/>
    <w:rsid w:val="004177DB"/>
    <w:rsid w:val="0042178F"/>
    <w:rsid w:val="004225ED"/>
    <w:rsid w:val="004237C0"/>
    <w:rsid w:val="0043106C"/>
    <w:rsid w:val="0043179B"/>
    <w:rsid w:val="00432982"/>
    <w:rsid w:val="00433474"/>
    <w:rsid w:val="00434212"/>
    <w:rsid w:val="004359F8"/>
    <w:rsid w:val="00440AE0"/>
    <w:rsid w:val="00440FF7"/>
    <w:rsid w:val="00441323"/>
    <w:rsid w:val="00445F2C"/>
    <w:rsid w:val="004470C8"/>
    <w:rsid w:val="004554D7"/>
    <w:rsid w:val="004557E9"/>
    <w:rsid w:val="004571A2"/>
    <w:rsid w:val="0046264D"/>
    <w:rsid w:val="0046528C"/>
    <w:rsid w:val="00472449"/>
    <w:rsid w:val="004736D1"/>
    <w:rsid w:val="00474806"/>
    <w:rsid w:val="00474B09"/>
    <w:rsid w:val="004755E2"/>
    <w:rsid w:val="00475D38"/>
    <w:rsid w:val="0047657B"/>
    <w:rsid w:val="00480CC9"/>
    <w:rsid w:val="00480D42"/>
    <w:rsid w:val="00481E1D"/>
    <w:rsid w:val="004824E9"/>
    <w:rsid w:val="00482F14"/>
    <w:rsid w:val="00486A90"/>
    <w:rsid w:val="00487170"/>
    <w:rsid w:val="0049082A"/>
    <w:rsid w:val="00494138"/>
    <w:rsid w:val="0049472A"/>
    <w:rsid w:val="004A13F2"/>
    <w:rsid w:val="004A3C6F"/>
    <w:rsid w:val="004A4B14"/>
    <w:rsid w:val="004A6A06"/>
    <w:rsid w:val="004B7547"/>
    <w:rsid w:val="004B7BB5"/>
    <w:rsid w:val="004C08FC"/>
    <w:rsid w:val="004C0F96"/>
    <w:rsid w:val="004C1212"/>
    <w:rsid w:val="004C2939"/>
    <w:rsid w:val="004C2AFD"/>
    <w:rsid w:val="004C2B30"/>
    <w:rsid w:val="004C2DD1"/>
    <w:rsid w:val="004C425C"/>
    <w:rsid w:val="004C5897"/>
    <w:rsid w:val="004C62A4"/>
    <w:rsid w:val="004C7854"/>
    <w:rsid w:val="004D189E"/>
    <w:rsid w:val="004D265B"/>
    <w:rsid w:val="004D3436"/>
    <w:rsid w:val="004D46FF"/>
    <w:rsid w:val="004D4B31"/>
    <w:rsid w:val="004D4E8C"/>
    <w:rsid w:val="004E0C8C"/>
    <w:rsid w:val="004E11BB"/>
    <w:rsid w:val="004E12BA"/>
    <w:rsid w:val="004E3BFB"/>
    <w:rsid w:val="004E3CCD"/>
    <w:rsid w:val="004E49AF"/>
    <w:rsid w:val="004E6AA3"/>
    <w:rsid w:val="004E727A"/>
    <w:rsid w:val="004F0A19"/>
    <w:rsid w:val="004F2F1D"/>
    <w:rsid w:val="004F3F79"/>
    <w:rsid w:val="004F4446"/>
    <w:rsid w:val="004F4E73"/>
    <w:rsid w:val="004F505B"/>
    <w:rsid w:val="004F6A38"/>
    <w:rsid w:val="004F6F72"/>
    <w:rsid w:val="004F7076"/>
    <w:rsid w:val="00500871"/>
    <w:rsid w:val="005008DE"/>
    <w:rsid w:val="00504EC4"/>
    <w:rsid w:val="005057A5"/>
    <w:rsid w:val="0050764C"/>
    <w:rsid w:val="005110C3"/>
    <w:rsid w:val="00511934"/>
    <w:rsid w:val="00511FC4"/>
    <w:rsid w:val="00512BA7"/>
    <w:rsid w:val="00514481"/>
    <w:rsid w:val="00514C51"/>
    <w:rsid w:val="0051690C"/>
    <w:rsid w:val="00522EE4"/>
    <w:rsid w:val="005247B4"/>
    <w:rsid w:val="0052739F"/>
    <w:rsid w:val="00530536"/>
    <w:rsid w:val="00531511"/>
    <w:rsid w:val="00532B82"/>
    <w:rsid w:val="00533392"/>
    <w:rsid w:val="005347A2"/>
    <w:rsid w:val="00535052"/>
    <w:rsid w:val="00535E0B"/>
    <w:rsid w:val="00536CBF"/>
    <w:rsid w:val="005400A0"/>
    <w:rsid w:val="00543A7D"/>
    <w:rsid w:val="005448AD"/>
    <w:rsid w:val="0055091C"/>
    <w:rsid w:val="00551242"/>
    <w:rsid w:val="00551655"/>
    <w:rsid w:val="0055367E"/>
    <w:rsid w:val="00555EEF"/>
    <w:rsid w:val="0055613C"/>
    <w:rsid w:val="0055677E"/>
    <w:rsid w:val="0055680F"/>
    <w:rsid w:val="005568F6"/>
    <w:rsid w:val="00556DEC"/>
    <w:rsid w:val="00560AFF"/>
    <w:rsid w:val="00560D3B"/>
    <w:rsid w:val="00561600"/>
    <w:rsid w:val="00561C1A"/>
    <w:rsid w:val="00563543"/>
    <w:rsid w:val="00565CF3"/>
    <w:rsid w:val="00566F5C"/>
    <w:rsid w:val="00573A9D"/>
    <w:rsid w:val="00574382"/>
    <w:rsid w:val="005759B1"/>
    <w:rsid w:val="00575E69"/>
    <w:rsid w:val="00577DCA"/>
    <w:rsid w:val="00577FC4"/>
    <w:rsid w:val="005803EF"/>
    <w:rsid w:val="00581031"/>
    <w:rsid w:val="0058205C"/>
    <w:rsid w:val="00583191"/>
    <w:rsid w:val="00584706"/>
    <w:rsid w:val="00587405"/>
    <w:rsid w:val="00590A27"/>
    <w:rsid w:val="005923C8"/>
    <w:rsid w:val="00593F77"/>
    <w:rsid w:val="005941F3"/>
    <w:rsid w:val="0059708B"/>
    <w:rsid w:val="005A06A4"/>
    <w:rsid w:val="005A165C"/>
    <w:rsid w:val="005A181B"/>
    <w:rsid w:val="005A3791"/>
    <w:rsid w:val="005B05AB"/>
    <w:rsid w:val="005B354E"/>
    <w:rsid w:val="005B656F"/>
    <w:rsid w:val="005B686E"/>
    <w:rsid w:val="005C14E7"/>
    <w:rsid w:val="005C1E1E"/>
    <w:rsid w:val="005C236D"/>
    <w:rsid w:val="005C2EA5"/>
    <w:rsid w:val="005C4E4C"/>
    <w:rsid w:val="005C62E6"/>
    <w:rsid w:val="005C65B7"/>
    <w:rsid w:val="005D023B"/>
    <w:rsid w:val="005D0CA5"/>
    <w:rsid w:val="005D191B"/>
    <w:rsid w:val="005D5D1B"/>
    <w:rsid w:val="005D686F"/>
    <w:rsid w:val="005D780C"/>
    <w:rsid w:val="005E2172"/>
    <w:rsid w:val="005E355B"/>
    <w:rsid w:val="005E4C92"/>
    <w:rsid w:val="005E5229"/>
    <w:rsid w:val="005F3906"/>
    <w:rsid w:val="005F41D4"/>
    <w:rsid w:val="005F7E13"/>
    <w:rsid w:val="006003C4"/>
    <w:rsid w:val="006016B7"/>
    <w:rsid w:val="00601F89"/>
    <w:rsid w:val="0060440A"/>
    <w:rsid w:val="006047D6"/>
    <w:rsid w:val="006069BD"/>
    <w:rsid w:val="00611074"/>
    <w:rsid w:val="00613522"/>
    <w:rsid w:val="00614274"/>
    <w:rsid w:val="00615A7A"/>
    <w:rsid w:val="0062135D"/>
    <w:rsid w:val="00621401"/>
    <w:rsid w:val="00623289"/>
    <w:rsid w:val="00623EA9"/>
    <w:rsid w:val="00626533"/>
    <w:rsid w:val="00627742"/>
    <w:rsid w:val="00631102"/>
    <w:rsid w:val="00635011"/>
    <w:rsid w:val="006361A8"/>
    <w:rsid w:val="00636681"/>
    <w:rsid w:val="00636AD3"/>
    <w:rsid w:val="00637F15"/>
    <w:rsid w:val="00640676"/>
    <w:rsid w:val="00640C9F"/>
    <w:rsid w:val="006427C2"/>
    <w:rsid w:val="00642EF1"/>
    <w:rsid w:val="00644E68"/>
    <w:rsid w:val="006453D5"/>
    <w:rsid w:val="006455E4"/>
    <w:rsid w:val="0064771A"/>
    <w:rsid w:val="0065069C"/>
    <w:rsid w:val="00650898"/>
    <w:rsid w:val="00651B66"/>
    <w:rsid w:val="00652EC0"/>
    <w:rsid w:val="006578BE"/>
    <w:rsid w:val="006603BE"/>
    <w:rsid w:val="0066060F"/>
    <w:rsid w:val="00660B54"/>
    <w:rsid w:val="00663D1A"/>
    <w:rsid w:val="00664EDE"/>
    <w:rsid w:val="00667C53"/>
    <w:rsid w:val="00670477"/>
    <w:rsid w:val="0067196E"/>
    <w:rsid w:val="006743C6"/>
    <w:rsid w:val="00674409"/>
    <w:rsid w:val="0067648E"/>
    <w:rsid w:val="00684C97"/>
    <w:rsid w:val="006862A0"/>
    <w:rsid w:val="00686551"/>
    <w:rsid w:val="006912E4"/>
    <w:rsid w:val="006919C2"/>
    <w:rsid w:val="00691E74"/>
    <w:rsid w:val="006924F3"/>
    <w:rsid w:val="006927D6"/>
    <w:rsid w:val="00693CEE"/>
    <w:rsid w:val="00693EDB"/>
    <w:rsid w:val="00694E8E"/>
    <w:rsid w:val="00696385"/>
    <w:rsid w:val="006A56C0"/>
    <w:rsid w:val="006A59E6"/>
    <w:rsid w:val="006A7B64"/>
    <w:rsid w:val="006B1A60"/>
    <w:rsid w:val="006B2197"/>
    <w:rsid w:val="006B323E"/>
    <w:rsid w:val="006B384F"/>
    <w:rsid w:val="006B4909"/>
    <w:rsid w:val="006B5C8C"/>
    <w:rsid w:val="006B6981"/>
    <w:rsid w:val="006B7062"/>
    <w:rsid w:val="006C0220"/>
    <w:rsid w:val="006C2A97"/>
    <w:rsid w:val="006C4C6E"/>
    <w:rsid w:val="006C59D1"/>
    <w:rsid w:val="006C6818"/>
    <w:rsid w:val="006C6CF9"/>
    <w:rsid w:val="006D198E"/>
    <w:rsid w:val="006D1B06"/>
    <w:rsid w:val="006D561D"/>
    <w:rsid w:val="006D75D4"/>
    <w:rsid w:val="006E0FB4"/>
    <w:rsid w:val="006E2303"/>
    <w:rsid w:val="006E339C"/>
    <w:rsid w:val="006E3E6A"/>
    <w:rsid w:val="006E4E3A"/>
    <w:rsid w:val="006E6F8F"/>
    <w:rsid w:val="006E7078"/>
    <w:rsid w:val="006F0348"/>
    <w:rsid w:val="006F3799"/>
    <w:rsid w:val="006F3F40"/>
    <w:rsid w:val="006F4E23"/>
    <w:rsid w:val="006F78A0"/>
    <w:rsid w:val="0070044D"/>
    <w:rsid w:val="00700820"/>
    <w:rsid w:val="00701810"/>
    <w:rsid w:val="00702E1F"/>
    <w:rsid w:val="00706BCF"/>
    <w:rsid w:val="0070720F"/>
    <w:rsid w:val="00710188"/>
    <w:rsid w:val="00711AEC"/>
    <w:rsid w:val="007124B6"/>
    <w:rsid w:val="00713474"/>
    <w:rsid w:val="00713681"/>
    <w:rsid w:val="00714551"/>
    <w:rsid w:val="00714A3B"/>
    <w:rsid w:val="0071514C"/>
    <w:rsid w:val="00715934"/>
    <w:rsid w:val="00716037"/>
    <w:rsid w:val="007163FE"/>
    <w:rsid w:val="00716574"/>
    <w:rsid w:val="007169E4"/>
    <w:rsid w:val="00717814"/>
    <w:rsid w:val="007204EC"/>
    <w:rsid w:val="007209CC"/>
    <w:rsid w:val="00720A60"/>
    <w:rsid w:val="00721B78"/>
    <w:rsid w:val="00721C9C"/>
    <w:rsid w:val="00722935"/>
    <w:rsid w:val="007248C5"/>
    <w:rsid w:val="007273E6"/>
    <w:rsid w:val="0073063A"/>
    <w:rsid w:val="0073144E"/>
    <w:rsid w:val="007332F5"/>
    <w:rsid w:val="0073369E"/>
    <w:rsid w:val="00734A78"/>
    <w:rsid w:val="007360B5"/>
    <w:rsid w:val="007365F6"/>
    <w:rsid w:val="007377F4"/>
    <w:rsid w:val="007377FE"/>
    <w:rsid w:val="00737D05"/>
    <w:rsid w:val="00741336"/>
    <w:rsid w:val="0074402B"/>
    <w:rsid w:val="00746622"/>
    <w:rsid w:val="00746AFD"/>
    <w:rsid w:val="007514DB"/>
    <w:rsid w:val="0075292A"/>
    <w:rsid w:val="00753686"/>
    <w:rsid w:val="007545A2"/>
    <w:rsid w:val="00755569"/>
    <w:rsid w:val="00757817"/>
    <w:rsid w:val="007605E9"/>
    <w:rsid w:val="00760BE1"/>
    <w:rsid w:val="0076240C"/>
    <w:rsid w:val="007628C7"/>
    <w:rsid w:val="00763899"/>
    <w:rsid w:val="00763BFB"/>
    <w:rsid w:val="00764D07"/>
    <w:rsid w:val="007655C3"/>
    <w:rsid w:val="00766881"/>
    <w:rsid w:val="007716E6"/>
    <w:rsid w:val="0077390F"/>
    <w:rsid w:val="00773E6E"/>
    <w:rsid w:val="00775000"/>
    <w:rsid w:val="00776027"/>
    <w:rsid w:val="00777DBF"/>
    <w:rsid w:val="00781308"/>
    <w:rsid w:val="0078447E"/>
    <w:rsid w:val="00784842"/>
    <w:rsid w:val="00784B8F"/>
    <w:rsid w:val="00784FFD"/>
    <w:rsid w:val="007851E0"/>
    <w:rsid w:val="007871F1"/>
    <w:rsid w:val="007903E7"/>
    <w:rsid w:val="00790D16"/>
    <w:rsid w:val="00790ED0"/>
    <w:rsid w:val="00795502"/>
    <w:rsid w:val="007A1304"/>
    <w:rsid w:val="007A2892"/>
    <w:rsid w:val="007A2DC8"/>
    <w:rsid w:val="007A32BF"/>
    <w:rsid w:val="007B0B0C"/>
    <w:rsid w:val="007B38A3"/>
    <w:rsid w:val="007B4C75"/>
    <w:rsid w:val="007B733C"/>
    <w:rsid w:val="007C073A"/>
    <w:rsid w:val="007C1CE1"/>
    <w:rsid w:val="007C24D6"/>
    <w:rsid w:val="007C2CE6"/>
    <w:rsid w:val="007C7B77"/>
    <w:rsid w:val="007D0C6E"/>
    <w:rsid w:val="007D4493"/>
    <w:rsid w:val="007E0FBA"/>
    <w:rsid w:val="007E3F7A"/>
    <w:rsid w:val="007E48C9"/>
    <w:rsid w:val="007E500A"/>
    <w:rsid w:val="007E5E41"/>
    <w:rsid w:val="007E75DC"/>
    <w:rsid w:val="007E7D68"/>
    <w:rsid w:val="007F36E3"/>
    <w:rsid w:val="007F4408"/>
    <w:rsid w:val="007F4665"/>
    <w:rsid w:val="007F46ED"/>
    <w:rsid w:val="007F48F4"/>
    <w:rsid w:val="007F4C1F"/>
    <w:rsid w:val="007F588E"/>
    <w:rsid w:val="007F5E5D"/>
    <w:rsid w:val="007F6D18"/>
    <w:rsid w:val="008022C3"/>
    <w:rsid w:val="00802486"/>
    <w:rsid w:val="00802C55"/>
    <w:rsid w:val="00805EAE"/>
    <w:rsid w:val="00807A92"/>
    <w:rsid w:val="008102F6"/>
    <w:rsid w:val="00811589"/>
    <w:rsid w:val="00813796"/>
    <w:rsid w:val="00816115"/>
    <w:rsid w:val="00825162"/>
    <w:rsid w:val="0082527B"/>
    <w:rsid w:val="00825E40"/>
    <w:rsid w:val="008260AD"/>
    <w:rsid w:val="00834F2A"/>
    <w:rsid w:val="00842214"/>
    <w:rsid w:val="00844D83"/>
    <w:rsid w:val="008456D6"/>
    <w:rsid w:val="008461FC"/>
    <w:rsid w:val="00847B4E"/>
    <w:rsid w:val="008521FA"/>
    <w:rsid w:val="00853C95"/>
    <w:rsid w:val="00854C12"/>
    <w:rsid w:val="00856A86"/>
    <w:rsid w:val="008579F2"/>
    <w:rsid w:val="00860E9B"/>
    <w:rsid w:val="00861086"/>
    <w:rsid w:val="008620CA"/>
    <w:rsid w:val="00862234"/>
    <w:rsid w:val="00864448"/>
    <w:rsid w:val="008658F5"/>
    <w:rsid w:val="00865D3B"/>
    <w:rsid w:val="008662F1"/>
    <w:rsid w:val="0086771E"/>
    <w:rsid w:val="00867C9B"/>
    <w:rsid w:val="00871B43"/>
    <w:rsid w:val="00872F1F"/>
    <w:rsid w:val="008744C0"/>
    <w:rsid w:val="00874B89"/>
    <w:rsid w:val="00875FD2"/>
    <w:rsid w:val="00876CEB"/>
    <w:rsid w:val="008779DB"/>
    <w:rsid w:val="00880799"/>
    <w:rsid w:val="0088252C"/>
    <w:rsid w:val="0088313E"/>
    <w:rsid w:val="00883221"/>
    <w:rsid w:val="0088619A"/>
    <w:rsid w:val="00887853"/>
    <w:rsid w:val="008905A7"/>
    <w:rsid w:val="008914C0"/>
    <w:rsid w:val="008915E1"/>
    <w:rsid w:val="00891AC7"/>
    <w:rsid w:val="00892057"/>
    <w:rsid w:val="0089344D"/>
    <w:rsid w:val="0089643F"/>
    <w:rsid w:val="008964BD"/>
    <w:rsid w:val="0089650E"/>
    <w:rsid w:val="008A0BBC"/>
    <w:rsid w:val="008A288B"/>
    <w:rsid w:val="008A49BD"/>
    <w:rsid w:val="008B146D"/>
    <w:rsid w:val="008B26E3"/>
    <w:rsid w:val="008B5701"/>
    <w:rsid w:val="008B596C"/>
    <w:rsid w:val="008B5E37"/>
    <w:rsid w:val="008B67E8"/>
    <w:rsid w:val="008B7527"/>
    <w:rsid w:val="008C011A"/>
    <w:rsid w:val="008C0CDC"/>
    <w:rsid w:val="008C3E0A"/>
    <w:rsid w:val="008C63D2"/>
    <w:rsid w:val="008C780F"/>
    <w:rsid w:val="008D0D0D"/>
    <w:rsid w:val="008D16E2"/>
    <w:rsid w:val="008D2A38"/>
    <w:rsid w:val="008D3EF1"/>
    <w:rsid w:val="008D51AA"/>
    <w:rsid w:val="008D548F"/>
    <w:rsid w:val="008D6518"/>
    <w:rsid w:val="008D6E10"/>
    <w:rsid w:val="008D706B"/>
    <w:rsid w:val="008E162B"/>
    <w:rsid w:val="008E1BB4"/>
    <w:rsid w:val="008E2291"/>
    <w:rsid w:val="008E3359"/>
    <w:rsid w:val="008E3448"/>
    <w:rsid w:val="008E53BA"/>
    <w:rsid w:val="008F1457"/>
    <w:rsid w:val="008F35F4"/>
    <w:rsid w:val="008F47D4"/>
    <w:rsid w:val="008F5DE7"/>
    <w:rsid w:val="008F62D6"/>
    <w:rsid w:val="008F678B"/>
    <w:rsid w:val="008F7C70"/>
    <w:rsid w:val="008F7E02"/>
    <w:rsid w:val="00900F82"/>
    <w:rsid w:val="00902F74"/>
    <w:rsid w:val="009135AC"/>
    <w:rsid w:val="009156E9"/>
    <w:rsid w:val="009219DA"/>
    <w:rsid w:val="00922A33"/>
    <w:rsid w:val="009263A6"/>
    <w:rsid w:val="00927223"/>
    <w:rsid w:val="00927FE0"/>
    <w:rsid w:val="00927FF2"/>
    <w:rsid w:val="009309D6"/>
    <w:rsid w:val="00930B1B"/>
    <w:rsid w:val="0093163E"/>
    <w:rsid w:val="00932E79"/>
    <w:rsid w:val="00933F3A"/>
    <w:rsid w:val="00934147"/>
    <w:rsid w:val="0093570E"/>
    <w:rsid w:val="00937913"/>
    <w:rsid w:val="0094133F"/>
    <w:rsid w:val="0094158D"/>
    <w:rsid w:val="009425AD"/>
    <w:rsid w:val="00942FBF"/>
    <w:rsid w:val="00944586"/>
    <w:rsid w:val="00944CD8"/>
    <w:rsid w:val="00945948"/>
    <w:rsid w:val="00947010"/>
    <w:rsid w:val="009501D5"/>
    <w:rsid w:val="009510BE"/>
    <w:rsid w:val="009514E7"/>
    <w:rsid w:val="00955310"/>
    <w:rsid w:val="0095740B"/>
    <w:rsid w:val="00957F14"/>
    <w:rsid w:val="009604EE"/>
    <w:rsid w:val="00962D9F"/>
    <w:rsid w:val="00963582"/>
    <w:rsid w:val="00965327"/>
    <w:rsid w:val="009670B2"/>
    <w:rsid w:val="00967372"/>
    <w:rsid w:val="0096763B"/>
    <w:rsid w:val="009704E6"/>
    <w:rsid w:val="009705DE"/>
    <w:rsid w:val="0097064C"/>
    <w:rsid w:val="00970B28"/>
    <w:rsid w:val="009711FC"/>
    <w:rsid w:val="00977555"/>
    <w:rsid w:val="009807DD"/>
    <w:rsid w:val="00980B02"/>
    <w:rsid w:val="00980D19"/>
    <w:rsid w:val="00980D4F"/>
    <w:rsid w:val="0098193D"/>
    <w:rsid w:val="00982162"/>
    <w:rsid w:val="009848BC"/>
    <w:rsid w:val="0098656E"/>
    <w:rsid w:val="00986582"/>
    <w:rsid w:val="009875E3"/>
    <w:rsid w:val="00992787"/>
    <w:rsid w:val="009938C2"/>
    <w:rsid w:val="00994E63"/>
    <w:rsid w:val="00994FC3"/>
    <w:rsid w:val="00995A4C"/>
    <w:rsid w:val="00995CCE"/>
    <w:rsid w:val="00996B20"/>
    <w:rsid w:val="009A4B76"/>
    <w:rsid w:val="009A4BB1"/>
    <w:rsid w:val="009A6593"/>
    <w:rsid w:val="009A7218"/>
    <w:rsid w:val="009B2069"/>
    <w:rsid w:val="009B2E3C"/>
    <w:rsid w:val="009B69E6"/>
    <w:rsid w:val="009B7D1F"/>
    <w:rsid w:val="009C0B86"/>
    <w:rsid w:val="009C1DFA"/>
    <w:rsid w:val="009C25E3"/>
    <w:rsid w:val="009C3168"/>
    <w:rsid w:val="009C4E57"/>
    <w:rsid w:val="009C5533"/>
    <w:rsid w:val="009C6B89"/>
    <w:rsid w:val="009D0F24"/>
    <w:rsid w:val="009D43E3"/>
    <w:rsid w:val="009D4B7F"/>
    <w:rsid w:val="009D57A1"/>
    <w:rsid w:val="009D58C8"/>
    <w:rsid w:val="009E0A2B"/>
    <w:rsid w:val="009E250A"/>
    <w:rsid w:val="009E32FD"/>
    <w:rsid w:val="009E58FC"/>
    <w:rsid w:val="009E6D75"/>
    <w:rsid w:val="009E776B"/>
    <w:rsid w:val="009E782D"/>
    <w:rsid w:val="009F1385"/>
    <w:rsid w:val="009F5AE0"/>
    <w:rsid w:val="009F6A22"/>
    <w:rsid w:val="009F7604"/>
    <w:rsid w:val="00A00060"/>
    <w:rsid w:val="00A008B8"/>
    <w:rsid w:val="00A0097C"/>
    <w:rsid w:val="00A01CFC"/>
    <w:rsid w:val="00A04604"/>
    <w:rsid w:val="00A04739"/>
    <w:rsid w:val="00A06AEE"/>
    <w:rsid w:val="00A076EB"/>
    <w:rsid w:val="00A07B3C"/>
    <w:rsid w:val="00A1181F"/>
    <w:rsid w:val="00A14275"/>
    <w:rsid w:val="00A15958"/>
    <w:rsid w:val="00A160C5"/>
    <w:rsid w:val="00A16A71"/>
    <w:rsid w:val="00A2019B"/>
    <w:rsid w:val="00A2311B"/>
    <w:rsid w:val="00A234E0"/>
    <w:rsid w:val="00A235AB"/>
    <w:rsid w:val="00A27483"/>
    <w:rsid w:val="00A30367"/>
    <w:rsid w:val="00A31E2D"/>
    <w:rsid w:val="00A322B0"/>
    <w:rsid w:val="00A33CED"/>
    <w:rsid w:val="00A3588B"/>
    <w:rsid w:val="00A3604C"/>
    <w:rsid w:val="00A36638"/>
    <w:rsid w:val="00A36934"/>
    <w:rsid w:val="00A372C0"/>
    <w:rsid w:val="00A40316"/>
    <w:rsid w:val="00A42121"/>
    <w:rsid w:val="00A425E8"/>
    <w:rsid w:val="00A436C8"/>
    <w:rsid w:val="00A4408E"/>
    <w:rsid w:val="00A4579E"/>
    <w:rsid w:val="00A46E32"/>
    <w:rsid w:val="00A51BF9"/>
    <w:rsid w:val="00A547CF"/>
    <w:rsid w:val="00A54BC8"/>
    <w:rsid w:val="00A5569A"/>
    <w:rsid w:val="00A55BCF"/>
    <w:rsid w:val="00A57BBE"/>
    <w:rsid w:val="00A60E03"/>
    <w:rsid w:val="00A61139"/>
    <w:rsid w:val="00A6179A"/>
    <w:rsid w:val="00A61A0E"/>
    <w:rsid w:val="00A63BA0"/>
    <w:rsid w:val="00A64167"/>
    <w:rsid w:val="00A64503"/>
    <w:rsid w:val="00A64B56"/>
    <w:rsid w:val="00A66AC4"/>
    <w:rsid w:val="00A66DD3"/>
    <w:rsid w:val="00A678FE"/>
    <w:rsid w:val="00A710EA"/>
    <w:rsid w:val="00A744E1"/>
    <w:rsid w:val="00A74C3D"/>
    <w:rsid w:val="00A75223"/>
    <w:rsid w:val="00A75541"/>
    <w:rsid w:val="00A75A37"/>
    <w:rsid w:val="00A75BE7"/>
    <w:rsid w:val="00A809D4"/>
    <w:rsid w:val="00A81C0A"/>
    <w:rsid w:val="00A81ECA"/>
    <w:rsid w:val="00A8406A"/>
    <w:rsid w:val="00A85B2C"/>
    <w:rsid w:val="00A85C1D"/>
    <w:rsid w:val="00A868FB"/>
    <w:rsid w:val="00A8785F"/>
    <w:rsid w:val="00A87DF0"/>
    <w:rsid w:val="00A93EED"/>
    <w:rsid w:val="00A9443C"/>
    <w:rsid w:val="00A9531F"/>
    <w:rsid w:val="00A9676E"/>
    <w:rsid w:val="00AA0194"/>
    <w:rsid w:val="00AA3A5B"/>
    <w:rsid w:val="00AA478B"/>
    <w:rsid w:val="00AA5599"/>
    <w:rsid w:val="00AA7424"/>
    <w:rsid w:val="00AB15EF"/>
    <w:rsid w:val="00AB67D7"/>
    <w:rsid w:val="00AB77D8"/>
    <w:rsid w:val="00AC22B9"/>
    <w:rsid w:val="00AC3295"/>
    <w:rsid w:val="00AC3B07"/>
    <w:rsid w:val="00AC5BE2"/>
    <w:rsid w:val="00AC60DD"/>
    <w:rsid w:val="00AD02E5"/>
    <w:rsid w:val="00AD167A"/>
    <w:rsid w:val="00AD2EA0"/>
    <w:rsid w:val="00AD35E7"/>
    <w:rsid w:val="00AD39F8"/>
    <w:rsid w:val="00AD4846"/>
    <w:rsid w:val="00AE083D"/>
    <w:rsid w:val="00AE1568"/>
    <w:rsid w:val="00AE205D"/>
    <w:rsid w:val="00AE20EF"/>
    <w:rsid w:val="00AE32BF"/>
    <w:rsid w:val="00AE3B4C"/>
    <w:rsid w:val="00AE47DB"/>
    <w:rsid w:val="00AE5165"/>
    <w:rsid w:val="00AE55A6"/>
    <w:rsid w:val="00AE791F"/>
    <w:rsid w:val="00AF2544"/>
    <w:rsid w:val="00AF5612"/>
    <w:rsid w:val="00AF5C01"/>
    <w:rsid w:val="00AF7039"/>
    <w:rsid w:val="00B00690"/>
    <w:rsid w:val="00B024AA"/>
    <w:rsid w:val="00B02D44"/>
    <w:rsid w:val="00B04F07"/>
    <w:rsid w:val="00B15874"/>
    <w:rsid w:val="00B15E81"/>
    <w:rsid w:val="00B209A6"/>
    <w:rsid w:val="00B20FFF"/>
    <w:rsid w:val="00B216F4"/>
    <w:rsid w:val="00B22013"/>
    <w:rsid w:val="00B225B2"/>
    <w:rsid w:val="00B25334"/>
    <w:rsid w:val="00B25685"/>
    <w:rsid w:val="00B2570C"/>
    <w:rsid w:val="00B27006"/>
    <w:rsid w:val="00B31566"/>
    <w:rsid w:val="00B330FF"/>
    <w:rsid w:val="00B35F6A"/>
    <w:rsid w:val="00B36EFB"/>
    <w:rsid w:val="00B40315"/>
    <w:rsid w:val="00B40A8F"/>
    <w:rsid w:val="00B43C39"/>
    <w:rsid w:val="00B443DB"/>
    <w:rsid w:val="00B45108"/>
    <w:rsid w:val="00B4753E"/>
    <w:rsid w:val="00B53F42"/>
    <w:rsid w:val="00B5527C"/>
    <w:rsid w:val="00B566F4"/>
    <w:rsid w:val="00B57060"/>
    <w:rsid w:val="00B579DA"/>
    <w:rsid w:val="00B60AFC"/>
    <w:rsid w:val="00B63A82"/>
    <w:rsid w:val="00B64245"/>
    <w:rsid w:val="00B66776"/>
    <w:rsid w:val="00B66FCC"/>
    <w:rsid w:val="00B7175F"/>
    <w:rsid w:val="00B71DD0"/>
    <w:rsid w:val="00B727B3"/>
    <w:rsid w:val="00B751D5"/>
    <w:rsid w:val="00B777C8"/>
    <w:rsid w:val="00B77B7D"/>
    <w:rsid w:val="00B805B2"/>
    <w:rsid w:val="00B81491"/>
    <w:rsid w:val="00B835C2"/>
    <w:rsid w:val="00B84F93"/>
    <w:rsid w:val="00B8706A"/>
    <w:rsid w:val="00B87D89"/>
    <w:rsid w:val="00B911E9"/>
    <w:rsid w:val="00B91344"/>
    <w:rsid w:val="00B91408"/>
    <w:rsid w:val="00B92F87"/>
    <w:rsid w:val="00B936B2"/>
    <w:rsid w:val="00B93D98"/>
    <w:rsid w:val="00B93FB9"/>
    <w:rsid w:val="00B94147"/>
    <w:rsid w:val="00B94FB7"/>
    <w:rsid w:val="00BA15CA"/>
    <w:rsid w:val="00BA2C18"/>
    <w:rsid w:val="00BA5267"/>
    <w:rsid w:val="00BA5A2F"/>
    <w:rsid w:val="00BA7EB8"/>
    <w:rsid w:val="00BB13B6"/>
    <w:rsid w:val="00BB411D"/>
    <w:rsid w:val="00BB5C5C"/>
    <w:rsid w:val="00BB653E"/>
    <w:rsid w:val="00BB7147"/>
    <w:rsid w:val="00BB77D0"/>
    <w:rsid w:val="00BB7CA5"/>
    <w:rsid w:val="00BC2448"/>
    <w:rsid w:val="00BC448B"/>
    <w:rsid w:val="00BC5717"/>
    <w:rsid w:val="00BC5B56"/>
    <w:rsid w:val="00BC5DC4"/>
    <w:rsid w:val="00BC6048"/>
    <w:rsid w:val="00BD0F81"/>
    <w:rsid w:val="00BD1664"/>
    <w:rsid w:val="00BD1694"/>
    <w:rsid w:val="00BD1982"/>
    <w:rsid w:val="00BD1AAD"/>
    <w:rsid w:val="00BD1CB6"/>
    <w:rsid w:val="00BD2F68"/>
    <w:rsid w:val="00BD32F4"/>
    <w:rsid w:val="00BD5283"/>
    <w:rsid w:val="00BD5919"/>
    <w:rsid w:val="00BD5ED0"/>
    <w:rsid w:val="00BD6846"/>
    <w:rsid w:val="00BE3385"/>
    <w:rsid w:val="00BE4CD8"/>
    <w:rsid w:val="00BE61C5"/>
    <w:rsid w:val="00BE66BF"/>
    <w:rsid w:val="00BE7529"/>
    <w:rsid w:val="00BF1E8C"/>
    <w:rsid w:val="00BF37FE"/>
    <w:rsid w:val="00BF419D"/>
    <w:rsid w:val="00BF46FA"/>
    <w:rsid w:val="00BF4A77"/>
    <w:rsid w:val="00BF548A"/>
    <w:rsid w:val="00BF5C27"/>
    <w:rsid w:val="00BF69A6"/>
    <w:rsid w:val="00BF700A"/>
    <w:rsid w:val="00BF77D4"/>
    <w:rsid w:val="00C01FBE"/>
    <w:rsid w:val="00C02973"/>
    <w:rsid w:val="00C043E9"/>
    <w:rsid w:val="00C1329D"/>
    <w:rsid w:val="00C1443F"/>
    <w:rsid w:val="00C244E9"/>
    <w:rsid w:val="00C24B76"/>
    <w:rsid w:val="00C250F3"/>
    <w:rsid w:val="00C30221"/>
    <w:rsid w:val="00C306A8"/>
    <w:rsid w:val="00C306C7"/>
    <w:rsid w:val="00C34BFF"/>
    <w:rsid w:val="00C354CD"/>
    <w:rsid w:val="00C35F1A"/>
    <w:rsid w:val="00C363D7"/>
    <w:rsid w:val="00C364FB"/>
    <w:rsid w:val="00C41C0A"/>
    <w:rsid w:val="00C41EE9"/>
    <w:rsid w:val="00C45919"/>
    <w:rsid w:val="00C46701"/>
    <w:rsid w:val="00C505F7"/>
    <w:rsid w:val="00C508BA"/>
    <w:rsid w:val="00C534CF"/>
    <w:rsid w:val="00C53A81"/>
    <w:rsid w:val="00C543ED"/>
    <w:rsid w:val="00C5475C"/>
    <w:rsid w:val="00C552ED"/>
    <w:rsid w:val="00C5532E"/>
    <w:rsid w:val="00C566D4"/>
    <w:rsid w:val="00C56821"/>
    <w:rsid w:val="00C56892"/>
    <w:rsid w:val="00C60607"/>
    <w:rsid w:val="00C61DF1"/>
    <w:rsid w:val="00C62830"/>
    <w:rsid w:val="00C646FF"/>
    <w:rsid w:val="00C66534"/>
    <w:rsid w:val="00C67C2A"/>
    <w:rsid w:val="00C7365E"/>
    <w:rsid w:val="00C7409C"/>
    <w:rsid w:val="00C77183"/>
    <w:rsid w:val="00C801D4"/>
    <w:rsid w:val="00C811A9"/>
    <w:rsid w:val="00C82955"/>
    <w:rsid w:val="00C85732"/>
    <w:rsid w:val="00C9037F"/>
    <w:rsid w:val="00C906CC"/>
    <w:rsid w:val="00C91C71"/>
    <w:rsid w:val="00C92ACB"/>
    <w:rsid w:val="00C94FBB"/>
    <w:rsid w:val="00C966EA"/>
    <w:rsid w:val="00C97C2E"/>
    <w:rsid w:val="00C97F1E"/>
    <w:rsid w:val="00C97F64"/>
    <w:rsid w:val="00CA0785"/>
    <w:rsid w:val="00CA586B"/>
    <w:rsid w:val="00CA6B78"/>
    <w:rsid w:val="00CA7EE2"/>
    <w:rsid w:val="00CB412D"/>
    <w:rsid w:val="00CB5672"/>
    <w:rsid w:val="00CB5E1D"/>
    <w:rsid w:val="00CC0B63"/>
    <w:rsid w:val="00CC23C9"/>
    <w:rsid w:val="00CC3E39"/>
    <w:rsid w:val="00CC4E62"/>
    <w:rsid w:val="00CC72EF"/>
    <w:rsid w:val="00CC7F9A"/>
    <w:rsid w:val="00CD0C70"/>
    <w:rsid w:val="00CD1D5F"/>
    <w:rsid w:val="00CD4493"/>
    <w:rsid w:val="00CD4BD3"/>
    <w:rsid w:val="00CD4DF6"/>
    <w:rsid w:val="00CD5095"/>
    <w:rsid w:val="00CD588E"/>
    <w:rsid w:val="00CD63CE"/>
    <w:rsid w:val="00CD6FF2"/>
    <w:rsid w:val="00CD7933"/>
    <w:rsid w:val="00CE062B"/>
    <w:rsid w:val="00CE0EA9"/>
    <w:rsid w:val="00CE11C3"/>
    <w:rsid w:val="00CE1CE9"/>
    <w:rsid w:val="00CE2CC9"/>
    <w:rsid w:val="00CE49ED"/>
    <w:rsid w:val="00CE5CB3"/>
    <w:rsid w:val="00CE60F2"/>
    <w:rsid w:val="00CE6329"/>
    <w:rsid w:val="00CF1479"/>
    <w:rsid w:val="00CF1604"/>
    <w:rsid w:val="00CF4A62"/>
    <w:rsid w:val="00CF66BD"/>
    <w:rsid w:val="00CF7440"/>
    <w:rsid w:val="00D0095A"/>
    <w:rsid w:val="00D02377"/>
    <w:rsid w:val="00D02545"/>
    <w:rsid w:val="00D02F71"/>
    <w:rsid w:val="00D03395"/>
    <w:rsid w:val="00D038BE"/>
    <w:rsid w:val="00D078C9"/>
    <w:rsid w:val="00D13699"/>
    <w:rsid w:val="00D13B55"/>
    <w:rsid w:val="00D14CBE"/>
    <w:rsid w:val="00D1504D"/>
    <w:rsid w:val="00D1562A"/>
    <w:rsid w:val="00D161AC"/>
    <w:rsid w:val="00D171B8"/>
    <w:rsid w:val="00D174DC"/>
    <w:rsid w:val="00D20826"/>
    <w:rsid w:val="00D230D9"/>
    <w:rsid w:val="00D2378E"/>
    <w:rsid w:val="00D2385C"/>
    <w:rsid w:val="00D23B2E"/>
    <w:rsid w:val="00D24205"/>
    <w:rsid w:val="00D2569D"/>
    <w:rsid w:val="00D2579A"/>
    <w:rsid w:val="00D2644B"/>
    <w:rsid w:val="00D30501"/>
    <w:rsid w:val="00D31110"/>
    <w:rsid w:val="00D3219E"/>
    <w:rsid w:val="00D3366C"/>
    <w:rsid w:val="00D373D1"/>
    <w:rsid w:val="00D37667"/>
    <w:rsid w:val="00D401BF"/>
    <w:rsid w:val="00D40863"/>
    <w:rsid w:val="00D40FB3"/>
    <w:rsid w:val="00D41681"/>
    <w:rsid w:val="00D44C78"/>
    <w:rsid w:val="00D46E73"/>
    <w:rsid w:val="00D47551"/>
    <w:rsid w:val="00D50CC5"/>
    <w:rsid w:val="00D55C54"/>
    <w:rsid w:val="00D55D21"/>
    <w:rsid w:val="00D57389"/>
    <w:rsid w:val="00D65E7C"/>
    <w:rsid w:val="00D67642"/>
    <w:rsid w:val="00D67F1B"/>
    <w:rsid w:val="00D72140"/>
    <w:rsid w:val="00D7409B"/>
    <w:rsid w:val="00D7557D"/>
    <w:rsid w:val="00D75E4B"/>
    <w:rsid w:val="00D7779E"/>
    <w:rsid w:val="00D861B7"/>
    <w:rsid w:val="00D86D52"/>
    <w:rsid w:val="00D90BDD"/>
    <w:rsid w:val="00D92FB2"/>
    <w:rsid w:val="00D9341A"/>
    <w:rsid w:val="00D94CBC"/>
    <w:rsid w:val="00D94F73"/>
    <w:rsid w:val="00D952FA"/>
    <w:rsid w:val="00D97127"/>
    <w:rsid w:val="00DA1583"/>
    <w:rsid w:val="00DA1DF2"/>
    <w:rsid w:val="00DA3EFC"/>
    <w:rsid w:val="00DA48AF"/>
    <w:rsid w:val="00DA5775"/>
    <w:rsid w:val="00DA62EC"/>
    <w:rsid w:val="00DA6775"/>
    <w:rsid w:val="00DB001A"/>
    <w:rsid w:val="00DB14BA"/>
    <w:rsid w:val="00DB2292"/>
    <w:rsid w:val="00DB25CD"/>
    <w:rsid w:val="00DC000D"/>
    <w:rsid w:val="00DC0518"/>
    <w:rsid w:val="00DC34F0"/>
    <w:rsid w:val="00DC636E"/>
    <w:rsid w:val="00DC75F0"/>
    <w:rsid w:val="00DC7C5A"/>
    <w:rsid w:val="00DC7FA4"/>
    <w:rsid w:val="00DD25D9"/>
    <w:rsid w:val="00DD361B"/>
    <w:rsid w:val="00DD599F"/>
    <w:rsid w:val="00DD5E10"/>
    <w:rsid w:val="00DD67A0"/>
    <w:rsid w:val="00DE0F1F"/>
    <w:rsid w:val="00DE1936"/>
    <w:rsid w:val="00DE3B75"/>
    <w:rsid w:val="00DE3DA4"/>
    <w:rsid w:val="00DE4291"/>
    <w:rsid w:val="00DE4ABF"/>
    <w:rsid w:val="00DE564E"/>
    <w:rsid w:val="00DE6195"/>
    <w:rsid w:val="00DE72FA"/>
    <w:rsid w:val="00DF1EC0"/>
    <w:rsid w:val="00DF22D5"/>
    <w:rsid w:val="00DF2981"/>
    <w:rsid w:val="00DF4B32"/>
    <w:rsid w:val="00DF76E0"/>
    <w:rsid w:val="00E002FC"/>
    <w:rsid w:val="00E02863"/>
    <w:rsid w:val="00E0585E"/>
    <w:rsid w:val="00E06E6F"/>
    <w:rsid w:val="00E06ED2"/>
    <w:rsid w:val="00E12353"/>
    <w:rsid w:val="00E12BCB"/>
    <w:rsid w:val="00E151F9"/>
    <w:rsid w:val="00E15934"/>
    <w:rsid w:val="00E2192D"/>
    <w:rsid w:val="00E21E6E"/>
    <w:rsid w:val="00E24173"/>
    <w:rsid w:val="00E259CB"/>
    <w:rsid w:val="00E272FB"/>
    <w:rsid w:val="00E3053C"/>
    <w:rsid w:val="00E318D3"/>
    <w:rsid w:val="00E33236"/>
    <w:rsid w:val="00E36FB8"/>
    <w:rsid w:val="00E4586A"/>
    <w:rsid w:val="00E46116"/>
    <w:rsid w:val="00E518CD"/>
    <w:rsid w:val="00E52200"/>
    <w:rsid w:val="00E52BD2"/>
    <w:rsid w:val="00E5489E"/>
    <w:rsid w:val="00E561AC"/>
    <w:rsid w:val="00E56ED0"/>
    <w:rsid w:val="00E57924"/>
    <w:rsid w:val="00E627B7"/>
    <w:rsid w:val="00E62920"/>
    <w:rsid w:val="00E6361C"/>
    <w:rsid w:val="00E637BD"/>
    <w:rsid w:val="00E6527C"/>
    <w:rsid w:val="00E668BD"/>
    <w:rsid w:val="00E67ADB"/>
    <w:rsid w:val="00E7094F"/>
    <w:rsid w:val="00E71926"/>
    <w:rsid w:val="00E71A5F"/>
    <w:rsid w:val="00E73766"/>
    <w:rsid w:val="00E75F26"/>
    <w:rsid w:val="00E76099"/>
    <w:rsid w:val="00E76BF4"/>
    <w:rsid w:val="00E815B6"/>
    <w:rsid w:val="00E82977"/>
    <w:rsid w:val="00E84B8B"/>
    <w:rsid w:val="00E87F5B"/>
    <w:rsid w:val="00E90978"/>
    <w:rsid w:val="00E90ABE"/>
    <w:rsid w:val="00E91007"/>
    <w:rsid w:val="00E91F0F"/>
    <w:rsid w:val="00E937E6"/>
    <w:rsid w:val="00E93E6F"/>
    <w:rsid w:val="00E969F3"/>
    <w:rsid w:val="00EA312A"/>
    <w:rsid w:val="00EA497F"/>
    <w:rsid w:val="00EB0A8D"/>
    <w:rsid w:val="00EB4FEA"/>
    <w:rsid w:val="00EB5753"/>
    <w:rsid w:val="00EB6698"/>
    <w:rsid w:val="00EB66AD"/>
    <w:rsid w:val="00EC1469"/>
    <w:rsid w:val="00EC3733"/>
    <w:rsid w:val="00EC40E7"/>
    <w:rsid w:val="00EC7945"/>
    <w:rsid w:val="00ED0253"/>
    <w:rsid w:val="00ED1C73"/>
    <w:rsid w:val="00ED2B02"/>
    <w:rsid w:val="00ED538E"/>
    <w:rsid w:val="00ED5D06"/>
    <w:rsid w:val="00ED7F37"/>
    <w:rsid w:val="00EE03AE"/>
    <w:rsid w:val="00EE108C"/>
    <w:rsid w:val="00EE21F1"/>
    <w:rsid w:val="00EE27D8"/>
    <w:rsid w:val="00EE3938"/>
    <w:rsid w:val="00EE5208"/>
    <w:rsid w:val="00EE6380"/>
    <w:rsid w:val="00EF1332"/>
    <w:rsid w:val="00EF28DA"/>
    <w:rsid w:val="00EF34FA"/>
    <w:rsid w:val="00EF4C62"/>
    <w:rsid w:val="00EF6FBD"/>
    <w:rsid w:val="00EF750C"/>
    <w:rsid w:val="00F00DD4"/>
    <w:rsid w:val="00F01832"/>
    <w:rsid w:val="00F02B8E"/>
    <w:rsid w:val="00F07C5B"/>
    <w:rsid w:val="00F11CB2"/>
    <w:rsid w:val="00F125E4"/>
    <w:rsid w:val="00F12DB5"/>
    <w:rsid w:val="00F13D9C"/>
    <w:rsid w:val="00F17334"/>
    <w:rsid w:val="00F175C1"/>
    <w:rsid w:val="00F17DA4"/>
    <w:rsid w:val="00F2253E"/>
    <w:rsid w:val="00F26882"/>
    <w:rsid w:val="00F26C17"/>
    <w:rsid w:val="00F27BB6"/>
    <w:rsid w:val="00F30646"/>
    <w:rsid w:val="00F30D89"/>
    <w:rsid w:val="00F30DAC"/>
    <w:rsid w:val="00F31CAC"/>
    <w:rsid w:val="00F3372B"/>
    <w:rsid w:val="00F35098"/>
    <w:rsid w:val="00F35414"/>
    <w:rsid w:val="00F35AFA"/>
    <w:rsid w:val="00F36BEE"/>
    <w:rsid w:val="00F40C37"/>
    <w:rsid w:val="00F411A0"/>
    <w:rsid w:val="00F4448B"/>
    <w:rsid w:val="00F47F2D"/>
    <w:rsid w:val="00F5121C"/>
    <w:rsid w:val="00F51BED"/>
    <w:rsid w:val="00F55D84"/>
    <w:rsid w:val="00F55DA4"/>
    <w:rsid w:val="00F56F66"/>
    <w:rsid w:val="00F57ADD"/>
    <w:rsid w:val="00F6250C"/>
    <w:rsid w:val="00F627A1"/>
    <w:rsid w:val="00F6652C"/>
    <w:rsid w:val="00F66CE6"/>
    <w:rsid w:val="00F70A2E"/>
    <w:rsid w:val="00F7210F"/>
    <w:rsid w:val="00F72553"/>
    <w:rsid w:val="00F744DB"/>
    <w:rsid w:val="00F76185"/>
    <w:rsid w:val="00F768C6"/>
    <w:rsid w:val="00F77667"/>
    <w:rsid w:val="00F80160"/>
    <w:rsid w:val="00F80808"/>
    <w:rsid w:val="00F808A8"/>
    <w:rsid w:val="00F83060"/>
    <w:rsid w:val="00F83DFF"/>
    <w:rsid w:val="00F84600"/>
    <w:rsid w:val="00F84F35"/>
    <w:rsid w:val="00F85628"/>
    <w:rsid w:val="00F857C3"/>
    <w:rsid w:val="00F86189"/>
    <w:rsid w:val="00F91E51"/>
    <w:rsid w:val="00F9313D"/>
    <w:rsid w:val="00F94A1C"/>
    <w:rsid w:val="00F966F0"/>
    <w:rsid w:val="00FA02F3"/>
    <w:rsid w:val="00FA1493"/>
    <w:rsid w:val="00FA4829"/>
    <w:rsid w:val="00FA5383"/>
    <w:rsid w:val="00FB1CB2"/>
    <w:rsid w:val="00FB2EB8"/>
    <w:rsid w:val="00FB328F"/>
    <w:rsid w:val="00FB39FD"/>
    <w:rsid w:val="00FB3D72"/>
    <w:rsid w:val="00FB4441"/>
    <w:rsid w:val="00FB5A50"/>
    <w:rsid w:val="00FC0036"/>
    <w:rsid w:val="00FC0A71"/>
    <w:rsid w:val="00FC110E"/>
    <w:rsid w:val="00FC4228"/>
    <w:rsid w:val="00FC7D6E"/>
    <w:rsid w:val="00FD1747"/>
    <w:rsid w:val="00FD32C2"/>
    <w:rsid w:val="00FD45B4"/>
    <w:rsid w:val="00FD4D9F"/>
    <w:rsid w:val="00FD69D2"/>
    <w:rsid w:val="00FE1E4D"/>
    <w:rsid w:val="00FE34D2"/>
    <w:rsid w:val="00FE5599"/>
    <w:rsid w:val="00FE6B02"/>
    <w:rsid w:val="00FE79CB"/>
    <w:rsid w:val="00FF08A4"/>
    <w:rsid w:val="00FF501F"/>
    <w:rsid w:val="00FF58AE"/>
    <w:rsid w:val="00FF75E4"/>
    <w:rsid w:val="00FF7876"/>
    <w:rsid w:val="5A1CED1D"/>
    <w:rsid w:val="5E93B2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18970E"/>
  <w15:docId w15:val="{17248688-5BCD-4901-8188-137264CF6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0A2"/>
    <w:pPr>
      <w:spacing w:after="0" w:line="240" w:lineRule="auto"/>
      <w:jc w:val="both"/>
    </w:pPr>
    <w:rPr>
      <w:lang w:val="en-US"/>
    </w:rPr>
  </w:style>
  <w:style w:type="paragraph" w:styleId="Heading1">
    <w:name w:val="heading 1"/>
    <w:basedOn w:val="Normal"/>
    <w:next w:val="Normal"/>
    <w:link w:val="Heading1Char"/>
    <w:uiPriority w:val="3"/>
    <w:qFormat/>
    <w:rsid w:val="006E339C"/>
    <w:pPr>
      <w:spacing w:after="120" w:line="312" w:lineRule="auto"/>
      <w:outlineLvl w:val="0"/>
    </w:pPr>
    <w:rPr>
      <w:rFonts w:ascii="Georgia" w:eastAsia="Times New Roman" w:hAnsi="Georgia" w:cs="Arial"/>
      <w:b/>
      <w:bCs/>
      <w:color w:val="001E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8EB"/>
    <w:pPr>
      <w:tabs>
        <w:tab w:val="center" w:pos="4513"/>
        <w:tab w:val="right" w:pos="9026"/>
      </w:tabs>
    </w:pPr>
    <w:rPr>
      <w:color w:val="003B4A"/>
    </w:rPr>
  </w:style>
  <w:style w:type="character" w:customStyle="1" w:styleId="HeaderChar">
    <w:name w:val="Header Char"/>
    <w:basedOn w:val="DefaultParagraphFont"/>
    <w:link w:val="Header"/>
    <w:uiPriority w:val="99"/>
    <w:rsid w:val="001348EB"/>
    <w:rPr>
      <w:color w:val="003B4A"/>
    </w:rPr>
  </w:style>
  <w:style w:type="paragraph" w:styleId="Footer">
    <w:name w:val="footer"/>
    <w:basedOn w:val="Normal"/>
    <w:link w:val="FooterChar"/>
    <w:uiPriority w:val="99"/>
    <w:unhideWhenUsed/>
    <w:rsid w:val="001348EB"/>
    <w:pPr>
      <w:tabs>
        <w:tab w:val="center" w:pos="4513"/>
        <w:tab w:val="right" w:pos="9026"/>
      </w:tabs>
      <w:spacing w:line="200" w:lineRule="exact"/>
    </w:pPr>
    <w:rPr>
      <w:sz w:val="18"/>
    </w:rPr>
  </w:style>
  <w:style w:type="character" w:customStyle="1" w:styleId="FooterChar">
    <w:name w:val="Footer Char"/>
    <w:basedOn w:val="DefaultParagraphFont"/>
    <w:link w:val="Footer"/>
    <w:uiPriority w:val="99"/>
    <w:rsid w:val="001348EB"/>
    <w:rPr>
      <w:sz w:val="18"/>
    </w:rPr>
  </w:style>
  <w:style w:type="character" w:styleId="PlaceholderText">
    <w:name w:val="Placeholder Text"/>
    <w:basedOn w:val="DefaultParagraphFont"/>
    <w:uiPriority w:val="99"/>
    <w:semiHidden/>
    <w:rsid w:val="004050B6"/>
    <w:rPr>
      <w:color w:val="808080"/>
    </w:rPr>
  </w:style>
  <w:style w:type="table" w:styleId="TableGrid">
    <w:name w:val="Table Grid"/>
    <w:basedOn w:val="TableNormal"/>
    <w:uiPriority w:val="59"/>
    <w:rsid w:val="0046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E339C"/>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6E339C"/>
    <w:rPr>
      <w:rFonts w:asciiTheme="majorHAnsi" w:eastAsiaTheme="majorEastAsia" w:hAnsiTheme="majorHAnsi" w:cstheme="majorBidi"/>
      <w:spacing w:val="-10"/>
      <w:kern w:val="28"/>
      <w:sz w:val="44"/>
      <w:szCs w:val="56"/>
    </w:rPr>
  </w:style>
  <w:style w:type="paragraph" w:styleId="NoSpacing">
    <w:name w:val="No Spacing"/>
    <w:uiPriority w:val="1"/>
    <w:qFormat/>
    <w:rsid w:val="006E339C"/>
    <w:pPr>
      <w:spacing w:after="0" w:line="240" w:lineRule="auto"/>
    </w:pPr>
  </w:style>
  <w:style w:type="paragraph" w:styleId="Subtitle">
    <w:name w:val="Subtitle"/>
    <w:aliases w:val="Introduction"/>
    <w:basedOn w:val="Normal"/>
    <w:next w:val="Normal"/>
    <w:link w:val="SubtitleChar"/>
    <w:uiPriority w:val="2"/>
    <w:qFormat/>
    <w:rsid w:val="006E339C"/>
    <w:pPr>
      <w:spacing w:after="120" w:line="300" w:lineRule="exact"/>
      <w:outlineLvl w:val="1"/>
    </w:pPr>
    <w:rPr>
      <w:rFonts w:ascii="Georgia" w:hAnsi="Georgia" w:cs="Arial"/>
      <w:color w:val="001E27" w:themeColor="text2"/>
      <w:sz w:val="24"/>
      <w:szCs w:val="24"/>
    </w:rPr>
  </w:style>
  <w:style w:type="character" w:customStyle="1" w:styleId="SubtitleChar">
    <w:name w:val="Subtitle Char"/>
    <w:aliases w:val="Introduction Char"/>
    <w:basedOn w:val="DefaultParagraphFont"/>
    <w:link w:val="Subtitle"/>
    <w:uiPriority w:val="2"/>
    <w:rsid w:val="006E339C"/>
    <w:rPr>
      <w:rFonts w:ascii="Georgia" w:hAnsi="Georgia" w:cs="Arial"/>
      <w:color w:val="001E27" w:themeColor="text2"/>
      <w:sz w:val="24"/>
      <w:szCs w:val="24"/>
      <w:lang w:val="en-US"/>
    </w:rPr>
  </w:style>
  <w:style w:type="character" w:customStyle="1" w:styleId="Heading1Char">
    <w:name w:val="Heading 1 Char"/>
    <w:basedOn w:val="DefaultParagraphFont"/>
    <w:link w:val="Heading1"/>
    <w:uiPriority w:val="3"/>
    <w:rsid w:val="006E339C"/>
    <w:rPr>
      <w:rFonts w:ascii="Georgia" w:eastAsia="Times New Roman" w:hAnsi="Georgia" w:cs="Arial"/>
      <w:b/>
      <w:bCs/>
      <w:color w:val="001E27"/>
      <w:sz w:val="24"/>
      <w:szCs w:val="24"/>
      <w:lang w:val="en-US"/>
    </w:rPr>
  </w:style>
  <w:style w:type="character" w:styleId="Emphasis">
    <w:name w:val="Emphasis"/>
    <w:uiPriority w:val="20"/>
    <w:qFormat/>
    <w:rsid w:val="006E339C"/>
    <w:rPr>
      <w:rFonts w:asciiTheme="majorHAnsi" w:hAnsiTheme="majorHAnsi"/>
      <w:b/>
      <w:sz w:val="24"/>
    </w:rPr>
  </w:style>
  <w:style w:type="character" w:styleId="Hyperlink">
    <w:name w:val="Hyperlink"/>
    <w:basedOn w:val="DefaultParagraphFont"/>
    <w:uiPriority w:val="99"/>
    <w:unhideWhenUsed/>
    <w:rsid w:val="00DA1583"/>
    <w:rPr>
      <w:color w:val="98989A" w:themeColor="hyperlink"/>
      <w:u w:val="single"/>
    </w:rPr>
  </w:style>
  <w:style w:type="character" w:customStyle="1" w:styleId="Mentionnonrsolue1">
    <w:name w:val="Mention non résolue1"/>
    <w:basedOn w:val="DefaultParagraphFont"/>
    <w:uiPriority w:val="99"/>
    <w:semiHidden/>
    <w:unhideWhenUsed/>
    <w:rsid w:val="00DA1583"/>
    <w:rPr>
      <w:color w:val="605E5C"/>
      <w:shd w:val="clear" w:color="auto" w:fill="E1DFDD"/>
    </w:rPr>
  </w:style>
  <w:style w:type="paragraph" w:styleId="BalloonText">
    <w:name w:val="Balloon Text"/>
    <w:basedOn w:val="Normal"/>
    <w:link w:val="BalloonTextChar"/>
    <w:uiPriority w:val="99"/>
    <w:semiHidden/>
    <w:unhideWhenUsed/>
    <w:rsid w:val="00913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5AC"/>
    <w:rPr>
      <w:rFonts w:ascii="Segoe UI" w:hAnsi="Segoe UI" w:cs="Segoe UI"/>
      <w:sz w:val="18"/>
      <w:szCs w:val="18"/>
    </w:rPr>
  </w:style>
  <w:style w:type="paragraph" w:styleId="ListParagraph">
    <w:name w:val="List Paragraph"/>
    <w:basedOn w:val="Normal"/>
    <w:link w:val="ListParagraphChar"/>
    <w:uiPriority w:val="34"/>
    <w:qFormat/>
    <w:rsid w:val="009F1385"/>
    <w:pPr>
      <w:ind w:left="720"/>
      <w:contextualSpacing/>
    </w:pPr>
  </w:style>
  <w:style w:type="character" w:styleId="CommentReference">
    <w:name w:val="annotation reference"/>
    <w:basedOn w:val="DefaultParagraphFont"/>
    <w:uiPriority w:val="99"/>
    <w:semiHidden/>
    <w:unhideWhenUsed/>
    <w:rsid w:val="007E3F7A"/>
    <w:rPr>
      <w:sz w:val="16"/>
      <w:szCs w:val="16"/>
    </w:rPr>
  </w:style>
  <w:style w:type="paragraph" w:styleId="CommentText">
    <w:name w:val="annotation text"/>
    <w:basedOn w:val="Normal"/>
    <w:link w:val="CommentTextChar"/>
    <w:uiPriority w:val="99"/>
    <w:unhideWhenUsed/>
    <w:rsid w:val="007E3F7A"/>
    <w:rPr>
      <w:sz w:val="20"/>
      <w:szCs w:val="20"/>
    </w:rPr>
  </w:style>
  <w:style w:type="character" w:customStyle="1" w:styleId="CommentTextChar">
    <w:name w:val="Comment Text Char"/>
    <w:basedOn w:val="DefaultParagraphFont"/>
    <w:link w:val="CommentText"/>
    <w:uiPriority w:val="99"/>
    <w:rsid w:val="007E3F7A"/>
    <w:rPr>
      <w:sz w:val="20"/>
      <w:szCs w:val="20"/>
    </w:rPr>
  </w:style>
  <w:style w:type="paragraph" w:styleId="CommentSubject">
    <w:name w:val="annotation subject"/>
    <w:basedOn w:val="CommentText"/>
    <w:next w:val="CommentText"/>
    <w:link w:val="CommentSubjectChar"/>
    <w:uiPriority w:val="99"/>
    <w:semiHidden/>
    <w:unhideWhenUsed/>
    <w:rsid w:val="007E3F7A"/>
    <w:rPr>
      <w:b/>
      <w:bCs/>
    </w:rPr>
  </w:style>
  <w:style w:type="character" w:customStyle="1" w:styleId="CommentSubjectChar">
    <w:name w:val="Comment Subject Char"/>
    <w:basedOn w:val="CommentTextChar"/>
    <w:link w:val="CommentSubject"/>
    <w:uiPriority w:val="99"/>
    <w:semiHidden/>
    <w:rsid w:val="007E3F7A"/>
    <w:rPr>
      <w:b/>
      <w:bCs/>
      <w:sz w:val="20"/>
      <w:szCs w:val="20"/>
    </w:rPr>
  </w:style>
  <w:style w:type="character" w:customStyle="1" w:styleId="ListParagraphChar">
    <w:name w:val="List Paragraph Char"/>
    <w:basedOn w:val="DefaultParagraphFont"/>
    <w:link w:val="ListParagraph"/>
    <w:uiPriority w:val="34"/>
    <w:rsid w:val="00157A7C"/>
    <w:rPr>
      <w:lang w:val="en-US"/>
    </w:rPr>
  </w:style>
  <w:style w:type="character" w:styleId="SubtleEmphasis">
    <w:name w:val="Subtle Emphasis"/>
    <w:basedOn w:val="DefaultParagraphFont"/>
    <w:uiPriority w:val="19"/>
    <w:qFormat/>
    <w:rsid w:val="004F6F72"/>
    <w:rPr>
      <w:i/>
      <w:iCs/>
      <w:color w:val="0091B7" w:themeColor="text1" w:themeTint="BF"/>
    </w:rPr>
  </w:style>
  <w:style w:type="character" w:styleId="FollowedHyperlink">
    <w:name w:val="FollowedHyperlink"/>
    <w:basedOn w:val="DefaultParagraphFont"/>
    <w:uiPriority w:val="99"/>
    <w:semiHidden/>
    <w:unhideWhenUsed/>
    <w:rsid w:val="00BB653E"/>
    <w:rPr>
      <w:color w:val="D9D8D7" w:themeColor="followedHyperlink"/>
      <w:u w:val="single"/>
    </w:rPr>
  </w:style>
  <w:style w:type="paragraph" w:customStyle="1" w:styleId="Pa114">
    <w:name w:val="Pa1_14"/>
    <w:basedOn w:val="Normal"/>
    <w:next w:val="Normal"/>
    <w:uiPriority w:val="99"/>
    <w:rsid w:val="002A754D"/>
    <w:pPr>
      <w:autoSpaceDE w:val="0"/>
      <w:autoSpaceDN w:val="0"/>
      <w:adjustRightInd w:val="0"/>
      <w:spacing w:line="241" w:lineRule="atLeast"/>
      <w:jc w:val="left"/>
    </w:pPr>
    <w:rPr>
      <w:rFonts w:ascii="Source Sans Pro" w:hAnsi="Source Sans Pro"/>
      <w:sz w:val="24"/>
      <w:szCs w:val="24"/>
    </w:rPr>
  </w:style>
  <w:style w:type="character" w:customStyle="1" w:styleId="A221">
    <w:name w:val="A2_21"/>
    <w:uiPriority w:val="99"/>
    <w:rsid w:val="002A754D"/>
    <w:rPr>
      <w:rFonts w:cs="Source Sans Pro"/>
      <w:color w:val="211D1E"/>
      <w:sz w:val="18"/>
      <w:szCs w:val="18"/>
    </w:rPr>
  </w:style>
  <w:style w:type="character" w:customStyle="1" w:styleId="A318">
    <w:name w:val="A3_18"/>
    <w:uiPriority w:val="99"/>
    <w:rsid w:val="002A754D"/>
    <w:rPr>
      <w:rFonts w:cs="Source Sans Pro"/>
      <w:i/>
      <w:iCs/>
      <w:color w:val="86888B"/>
      <w:sz w:val="16"/>
      <w:szCs w:val="16"/>
    </w:rPr>
  </w:style>
  <w:style w:type="paragraph" w:customStyle="1" w:styleId="Pa1">
    <w:name w:val="Pa1"/>
    <w:basedOn w:val="Normal"/>
    <w:next w:val="Normal"/>
    <w:uiPriority w:val="99"/>
    <w:rsid w:val="00F627A1"/>
    <w:pPr>
      <w:autoSpaceDE w:val="0"/>
      <w:autoSpaceDN w:val="0"/>
      <w:adjustRightInd w:val="0"/>
      <w:spacing w:line="241" w:lineRule="atLeast"/>
      <w:jc w:val="left"/>
    </w:pPr>
    <w:rPr>
      <w:rFonts w:ascii="Source Sans Pro" w:hAnsi="Source Sans Pro"/>
      <w:sz w:val="24"/>
      <w:szCs w:val="24"/>
    </w:rPr>
  </w:style>
  <w:style w:type="character" w:customStyle="1" w:styleId="A2">
    <w:name w:val="A2"/>
    <w:uiPriority w:val="99"/>
    <w:rsid w:val="00F627A1"/>
    <w:rPr>
      <w:rFonts w:cs="Source Sans Pro"/>
      <w:color w:val="211D1E"/>
      <w:sz w:val="18"/>
      <w:szCs w:val="18"/>
    </w:rPr>
  </w:style>
  <w:style w:type="paragraph" w:customStyle="1" w:styleId="Pa11">
    <w:name w:val="Pa1_1"/>
    <w:basedOn w:val="Normal"/>
    <w:next w:val="Normal"/>
    <w:uiPriority w:val="99"/>
    <w:rsid w:val="005A06A4"/>
    <w:pPr>
      <w:autoSpaceDE w:val="0"/>
      <w:autoSpaceDN w:val="0"/>
      <w:adjustRightInd w:val="0"/>
      <w:spacing w:line="241" w:lineRule="atLeast"/>
      <w:jc w:val="left"/>
    </w:pPr>
    <w:rPr>
      <w:rFonts w:ascii="Source Sans Pro" w:hAnsi="Source Sans Pro"/>
      <w:sz w:val="24"/>
      <w:szCs w:val="24"/>
    </w:rPr>
  </w:style>
  <w:style w:type="character" w:customStyle="1" w:styleId="A21">
    <w:name w:val="A2_1"/>
    <w:uiPriority w:val="99"/>
    <w:rsid w:val="005A06A4"/>
    <w:rPr>
      <w:rFonts w:cs="Source Sans Pro"/>
      <w:color w:val="211D1E"/>
      <w:sz w:val="18"/>
      <w:szCs w:val="18"/>
    </w:rPr>
  </w:style>
  <w:style w:type="paragraph" w:customStyle="1" w:styleId="Pa12">
    <w:name w:val="Pa1_2"/>
    <w:basedOn w:val="Normal"/>
    <w:next w:val="Normal"/>
    <w:uiPriority w:val="99"/>
    <w:rsid w:val="00755569"/>
    <w:pPr>
      <w:autoSpaceDE w:val="0"/>
      <w:autoSpaceDN w:val="0"/>
      <w:adjustRightInd w:val="0"/>
      <w:spacing w:line="241" w:lineRule="atLeast"/>
      <w:jc w:val="left"/>
    </w:pPr>
    <w:rPr>
      <w:rFonts w:ascii="Source Sans Pro" w:hAnsi="Source Sans Pro"/>
      <w:sz w:val="24"/>
      <w:szCs w:val="24"/>
    </w:rPr>
  </w:style>
  <w:style w:type="character" w:customStyle="1" w:styleId="A22">
    <w:name w:val="A2_2"/>
    <w:uiPriority w:val="99"/>
    <w:rsid w:val="00755569"/>
    <w:rPr>
      <w:rFonts w:cs="Source Sans Pro"/>
      <w:color w:val="211D1E"/>
      <w:sz w:val="18"/>
      <w:szCs w:val="18"/>
    </w:rPr>
  </w:style>
  <w:style w:type="character" w:customStyle="1" w:styleId="A23">
    <w:name w:val="A2_3"/>
    <w:uiPriority w:val="99"/>
    <w:rsid w:val="00D14CBE"/>
    <w:rPr>
      <w:rFonts w:cs="Source Sans Pro"/>
      <w:color w:val="211D1E"/>
      <w:sz w:val="18"/>
      <w:szCs w:val="18"/>
    </w:rPr>
  </w:style>
  <w:style w:type="paragraph" w:customStyle="1" w:styleId="Pa13">
    <w:name w:val="Pa1_3"/>
    <w:basedOn w:val="Normal"/>
    <w:next w:val="Normal"/>
    <w:uiPriority w:val="99"/>
    <w:rsid w:val="00D14CBE"/>
    <w:pPr>
      <w:autoSpaceDE w:val="0"/>
      <w:autoSpaceDN w:val="0"/>
      <w:adjustRightInd w:val="0"/>
      <w:spacing w:line="241" w:lineRule="atLeast"/>
      <w:jc w:val="left"/>
    </w:pPr>
    <w:rPr>
      <w:rFonts w:ascii="Source Sans Pro" w:hAnsi="Source Sans Pro"/>
      <w:sz w:val="24"/>
      <w:szCs w:val="24"/>
    </w:rPr>
  </w:style>
  <w:style w:type="paragraph" w:customStyle="1" w:styleId="Pa14">
    <w:name w:val="Pa1_4"/>
    <w:basedOn w:val="Normal"/>
    <w:next w:val="Normal"/>
    <w:uiPriority w:val="99"/>
    <w:rsid w:val="00090C46"/>
    <w:pPr>
      <w:autoSpaceDE w:val="0"/>
      <w:autoSpaceDN w:val="0"/>
      <w:adjustRightInd w:val="0"/>
      <w:spacing w:line="241" w:lineRule="atLeast"/>
      <w:jc w:val="left"/>
    </w:pPr>
    <w:rPr>
      <w:rFonts w:ascii="Source Sans Pro" w:hAnsi="Source Sans Pro"/>
      <w:sz w:val="24"/>
      <w:szCs w:val="24"/>
    </w:rPr>
  </w:style>
  <w:style w:type="character" w:customStyle="1" w:styleId="A25">
    <w:name w:val="A2_5"/>
    <w:uiPriority w:val="99"/>
    <w:rsid w:val="00090C46"/>
    <w:rPr>
      <w:rFonts w:cs="Source Sans Pro"/>
      <w:color w:val="221E1F"/>
      <w:sz w:val="18"/>
      <w:szCs w:val="18"/>
    </w:rPr>
  </w:style>
  <w:style w:type="character" w:customStyle="1" w:styleId="A26">
    <w:name w:val="A2_6"/>
    <w:uiPriority w:val="99"/>
    <w:rsid w:val="000A4576"/>
    <w:rPr>
      <w:rFonts w:cs="Source Sans Pro"/>
      <w:color w:val="221E1F"/>
      <w:sz w:val="18"/>
      <w:szCs w:val="18"/>
    </w:rPr>
  </w:style>
  <w:style w:type="paragraph" w:customStyle="1" w:styleId="Pa15">
    <w:name w:val="Pa1_5"/>
    <w:basedOn w:val="Normal"/>
    <w:next w:val="Normal"/>
    <w:uiPriority w:val="99"/>
    <w:rsid w:val="000A4576"/>
    <w:pPr>
      <w:autoSpaceDE w:val="0"/>
      <w:autoSpaceDN w:val="0"/>
      <w:adjustRightInd w:val="0"/>
      <w:spacing w:line="241" w:lineRule="atLeast"/>
      <w:jc w:val="left"/>
    </w:pPr>
    <w:rPr>
      <w:rFonts w:ascii="Source Sans Pro" w:hAnsi="Source Sans Pro"/>
      <w:sz w:val="24"/>
      <w:szCs w:val="24"/>
    </w:rPr>
  </w:style>
  <w:style w:type="character" w:customStyle="1" w:styleId="A29">
    <w:name w:val="A2_9"/>
    <w:uiPriority w:val="99"/>
    <w:rsid w:val="00DF22D5"/>
    <w:rPr>
      <w:rFonts w:cs="Source Sans Pro"/>
      <w:color w:val="221E1F"/>
      <w:sz w:val="18"/>
      <w:szCs w:val="18"/>
    </w:rPr>
  </w:style>
  <w:style w:type="paragraph" w:customStyle="1" w:styleId="Pa17">
    <w:name w:val="Pa1_7"/>
    <w:basedOn w:val="Normal"/>
    <w:next w:val="Normal"/>
    <w:uiPriority w:val="99"/>
    <w:rsid w:val="00DF22D5"/>
    <w:pPr>
      <w:autoSpaceDE w:val="0"/>
      <w:autoSpaceDN w:val="0"/>
      <w:adjustRightInd w:val="0"/>
      <w:spacing w:line="241" w:lineRule="atLeast"/>
      <w:jc w:val="left"/>
    </w:pPr>
    <w:rPr>
      <w:rFonts w:ascii="Source Sans Pro" w:hAnsi="Source Sans Pro"/>
      <w:sz w:val="24"/>
      <w:szCs w:val="24"/>
    </w:rPr>
  </w:style>
  <w:style w:type="paragraph" w:customStyle="1" w:styleId="Pa18">
    <w:name w:val="Pa1_8"/>
    <w:basedOn w:val="Normal"/>
    <w:next w:val="Normal"/>
    <w:uiPriority w:val="99"/>
    <w:rsid w:val="000C153D"/>
    <w:pPr>
      <w:autoSpaceDE w:val="0"/>
      <w:autoSpaceDN w:val="0"/>
      <w:adjustRightInd w:val="0"/>
      <w:spacing w:line="241" w:lineRule="atLeast"/>
      <w:jc w:val="left"/>
    </w:pPr>
    <w:rPr>
      <w:rFonts w:ascii="Source Sans Pro" w:hAnsi="Source Sans Pro"/>
      <w:sz w:val="24"/>
      <w:szCs w:val="24"/>
    </w:rPr>
  </w:style>
  <w:style w:type="character" w:customStyle="1" w:styleId="A210">
    <w:name w:val="A2_10"/>
    <w:uiPriority w:val="99"/>
    <w:rsid w:val="000C153D"/>
    <w:rPr>
      <w:rFonts w:cs="Source Sans Pro"/>
      <w:color w:val="221E1F"/>
      <w:sz w:val="18"/>
      <w:szCs w:val="18"/>
    </w:rPr>
  </w:style>
  <w:style w:type="character" w:customStyle="1" w:styleId="A111">
    <w:name w:val="A1_11"/>
    <w:uiPriority w:val="99"/>
    <w:rsid w:val="00351AD4"/>
    <w:rPr>
      <w:rFonts w:cs="Source Sans Pro"/>
      <w:color w:val="221E1F"/>
      <w:sz w:val="18"/>
      <w:szCs w:val="18"/>
    </w:rPr>
  </w:style>
  <w:style w:type="paragraph" w:customStyle="1" w:styleId="Pa010">
    <w:name w:val="Pa0_10"/>
    <w:basedOn w:val="Normal"/>
    <w:next w:val="Normal"/>
    <w:uiPriority w:val="99"/>
    <w:rsid w:val="00500871"/>
    <w:pPr>
      <w:autoSpaceDE w:val="0"/>
      <w:autoSpaceDN w:val="0"/>
      <w:adjustRightInd w:val="0"/>
      <w:spacing w:line="241" w:lineRule="atLeast"/>
      <w:jc w:val="left"/>
    </w:pPr>
    <w:rPr>
      <w:rFonts w:ascii="Source Sans Pro" w:hAnsi="Source Sans Pro"/>
      <w:sz w:val="24"/>
      <w:szCs w:val="24"/>
    </w:rPr>
  </w:style>
  <w:style w:type="character" w:customStyle="1" w:styleId="A115">
    <w:name w:val="A1_15"/>
    <w:uiPriority w:val="99"/>
    <w:rsid w:val="00500871"/>
    <w:rPr>
      <w:rFonts w:cs="Source Sans Pro"/>
      <w:color w:val="221E1F"/>
      <w:sz w:val="18"/>
      <w:szCs w:val="18"/>
    </w:rPr>
  </w:style>
  <w:style w:type="paragraph" w:customStyle="1" w:styleId="Pa011">
    <w:name w:val="Pa0_11"/>
    <w:basedOn w:val="Normal"/>
    <w:next w:val="Normal"/>
    <w:uiPriority w:val="99"/>
    <w:rsid w:val="00176AB1"/>
    <w:pPr>
      <w:autoSpaceDE w:val="0"/>
      <w:autoSpaceDN w:val="0"/>
      <w:adjustRightInd w:val="0"/>
      <w:spacing w:line="241" w:lineRule="atLeast"/>
      <w:jc w:val="left"/>
    </w:pPr>
    <w:rPr>
      <w:rFonts w:ascii="Source Sans Pro" w:hAnsi="Source Sans Pro"/>
      <w:sz w:val="24"/>
      <w:szCs w:val="24"/>
    </w:rPr>
  </w:style>
  <w:style w:type="character" w:customStyle="1" w:styleId="A117">
    <w:name w:val="A1_17"/>
    <w:uiPriority w:val="99"/>
    <w:rsid w:val="00176AB1"/>
    <w:rPr>
      <w:rFonts w:cs="Source Sans Pro"/>
      <w:color w:val="211D1E"/>
      <w:sz w:val="18"/>
      <w:szCs w:val="18"/>
    </w:rPr>
  </w:style>
  <w:style w:type="paragraph" w:customStyle="1" w:styleId="Pa111">
    <w:name w:val="Pa1_11"/>
    <w:basedOn w:val="Normal"/>
    <w:next w:val="Normal"/>
    <w:uiPriority w:val="99"/>
    <w:rsid w:val="00E33236"/>
    <w:pPr>
      <w:autoSpaceDE w:val="0"/>
      <w:autoSpaceDN w:val="0"/>
      <w:adjustRightInd w:val="0"/>
      <w:spacing w:line="241" w:lineRule="atLeast"/>
      <w:jc w:val="left"/>
    </w:pPr>
    <w:rPr>
      <w:rFonts w:ascii="Source Sans Pro" w:hAnsi="Source Sans Pro"/>
      <w:sz w:val="24"/>
      <w:szCs w:val="24"/>
    </w:rPr>
  </w:style>
  <w:style w:type="character" w:customStyle="1" w:styleId="A218">
    <w:name w:val="A2_18"/>
    <w:uiPriority w:val="99"/>
    <w:rsid w:val="00E33236"/>
    <w:rPr>
      <w:rFonts w:cs="Source Sans Pro"/>
      <w:color w:val="211D1E"/>
      <w:sz w:val="18"/>
      <w:szCs w:val="18"/>
    </w:rPr>
  </w:style>
  <w:style w:type="character" w:customStyle="1" w:styleId="A219">
    <w:name w:val="A2_19"/>
    <w:uiPriority w:val="99"/>
    <w:rsid w:val="006F78A0"/>
    <w:rPr>
      <w:rFonts w:cs="Source Sans Pro"/>
      <w:color w:val="211D1E"/>
      <w:sz w:val="18"/>
      <w:szCs w:val="18"/>
    </w:rPr>
  </w:style>
  <w:style w:type="character" w:customStyle="1" w:styleId="A220">
    <w:name w:val="A2_20"/>
    <w:uiPriority w:val="99"/>
    <w:rsid w:val="00531511"/>
    <w:rPr>
      <w:rFonts w:cs="Source Sans Pro"/>
      <w:color w:val="211D1E"/>
      <w:sz w:val="18"/>
      <w:szCs w:val="18"/>
    </w:rPr>
  </w:style>
  <w:style w:type="paragraph" w:customStyle="1" w:styleId="Pa115">
    <w:name w:val="Pa1_15"/>
    <w:basedOn w:val="Normal"/>
    <w:next w:val="Normal"/>
    <w:uiPriority w:val="99"/>
    <w:rsid w:val="00C46701"/>
    <w:pPr>
      <w:autoSpaceDE w:val="0"/>
      <w:autoSpaceDN w:val="0"/>
      <w:adjustRightInd w:val="0"/>
      <w:spacing w:line="241" w:lineRule="atLeast"/>
      <w:jc w:val="left"/>
    </w:pPr>
    <w:rPr>
      <w:rFonts w:ascii="Source Sans Pro" w:hAnsi="Source Sans Pro"/>
      <w:sz w:val="24"/>
      <w:szCs w:val="24"/>
    </w:rPr>
  </w:style>
  <w:style w:type="character" w:customStyle="1" w:styleId="A222">
    <w:name w:val="A2_22"/>
    <w:uiPriority w:val="99"/>
    <w:rsid w:val="00C46701"/>
    <w:rPr>
      <w:rFonts w:cs="Source Sans Pro"/>
      <w:color w:val="211D1E"/>
      <w:sz w:val="18"/>
      <w:szCs w:val="18"/>
    </w:rPr>
  </w:style>
  <w:style w:type="character" w:customStyle="1" w:styleId="A123">
    <w:name w:val="A1_23"/>
    <w:uiPriority w:val="99"/>
    <w:rsid w:val="00C5532E"/>
    <w:rPr>
      <w:rFonts w:cs="Source Sans Pro"/>
      <w:color w:val="211D1E"/>
      <w:sz w:val="18"/>
      <w:szCs w:val="18"/>
    </w:rPr>
  </w:style>
  <w:style w:type="paragraph" w:customStyle="1" w:styleId="Pa012">
    <w:name w:val="Pa0_12"/>
    <w:basedOn w:val="Normal"/>
    <w:next w:val="Normal"/>
    <w:uiPriority w:val="99"/>
    <w:rsid w:val="00C5532E"/>
    <w:pPr>
      <w:autoSpaceDE w:val="0"/>
      <w:autoSpaceDN w:val="0"/>
      <w:adjustRightInd w:val="0"/>
      <w:spacing w:line="241" w:lineRule="atLeast"/>
      <w:jc w:val="left"/>
    </w:pPr>
    <w:rPr>
      <w:rFonts w:ascii="Source Sans Pro" w:hAnsi="Source Sans Pro"/>
      <w:sz w:val="24"/>
      <w:szCs w:val="24"/>
    </w:rPr>
  </w:style>
  <w:style w:type="character" w:customStyle="1" w:styleId="A124">
    <w:name w:val="A1_24"/>
    <w:uiPriority w:val="99"/>
    <w:rsid w:val="00D13B55"/>
    <w:rPr>
      <w:rFonts w:cs="Source Sans Pro"/>
      <w:color w:val="211D1E"/>
      <w:sz w:val="18"/>
      <w:szCs w:val="18"/>
    </w:rPr>
  </w:style>
  <w:style w:type="paragraph" w:customStyle="1" w:styleId="Pa013">
    <w:name w:val="Pa0_13"/>
    <w:basedOn w:val="Normal"/>
    <w:next w:val="Normal"/>
    <w:uiPriority w:val="99"/>
    <w:rsid w:val="00D13B55"/>
    <w:pPr>
      <w:autoSpaceDE w:val="0"/>
      <w:autoSpaceDN w:val="0"/>
      <w:adjustRightInd w:val="0"/>
      <w:spacing w:line="241" w:lineRule="atLeast"/>
      <w:jc w:val="left"/>
    </w:pPr>
    <w:rPr>
      <w:rFonts w:ascii="Source Sans Pro" w:hAnsi="Source Sans Pro"/>
      <w:sz w:val="24"/>
      <w:szCs w:val="24"/>
    </w:rPr>
  </w:style>
  <w:style w:type="paragraph" w:customStyle="1" w:styleId="Pa014">
    <w:name w:val="Pa0_14"/>
    <w:basedOn w:val="Normal"/>
    <w:next w:val="Normal"/>
    <w:uiPriority w:val="99"/>
    <w:rsid w:val="000C7472"/>
    <w:pPr>
      <w:autoSpaceDE w:val="0"/>
      <w:autoSpaceDN w:val="0"/>
      <w:adjustRightInd w:val="0"/>
      <w:spacing w:line="241" w:lineRule="atLeast"/>
      <w:jc w:val="left"/>
    </w:pPr>
    <w:rPr>
      <w:rFonts w:ascii="Source Sans Pro" w:hAnsi="Source Sans Pro"/>
      <w:sz w:val="24"/>
      <w:szCs w:val="24"/>
    </w:rPr>
  </w:style>
  <w:style w:type="character" w:customStyle="1" w:styleId="A125">
    <w:name w:val="A1_25"/>
    <w:uiPriority w:val="99"/>
    <w:rsid w:val="000C7472"/>
    <w:rPr>
      <w:rFonts w:cs="Source Sans Pro"/>
      <w:color w:val="211D1E"/>
      <w:sz w:val="18"/>
      <w:szCs w:val="18"/>
    </w:rPr>
  </w:style>
  <w:style w:type="character" w:customStyle="1" w:styleId="A126">
    <w:name w:val="A1_26"/>
    <w:uiPriority w:val="99"/>
    <w:rsid w:val="005568F6"/>
    <w:rPr>
      <w:rFonts w:cs="Source Sans Pro"/>
      <w:color w:val="211D1E"/>
      <w:sz w:val="18"/>
      <w:szCs w:val="18"/>
    </w:rPr>
  </w:style>
  <w:style w:type="paragraph" w:customStyle="1" w:styleId="Pa116">
    <w:name w:val="Pa1_16"/>
    <w:basedOn w:val="Normal"/>
    <w:next w:val="Normal"/>
    <w:uiPriority w:val="99"/>
    <w:rsid w:val="001E6A79"/>
    <w:pPr>
      <w:autoSpaceDE w:val="0"/>
      <w:autoSpaceDN w:val="0"/>
      <w:adjustRightInd w:val="0"/>
      <w:spacing w:line="241" w:lineRule="atLeast"/>
      <w:jc w:val="left"/>
    </w:pPr>
    <w:rPr>
      <w:rFonts w:ascii="Source Sans Pro" w:hAnsi="Source Sans Pro"/>
      <w:sz w:val="24"/>
      <w:szCs w:val="24"/>
    </w:rPr>
  </w:style>
  <w:style w:type="character" w:customStyle="1" w:styleId="A227">
    <w:name w:val="A2_27"/>
    <w:uiPriority w:val="99"/>
    <w:rsid w:val="001E6A79"/>
    <w:rPr>
      <w:rFonts w:cs="Source Sans Pro"/>
      <w:color w:val="211D1E"/>
      <w:sz w:val="18"/>
      <w:szCs w:val="18"/>
    </w:rPr>
  </w:style>
  <w:style w:type="character" w:customStyle="1" w:styleId="A128">
    <w:name w:val="A1_28"/>
    <w:uiPriority w:val="99"/>
    <w:rsid w:val="001F5F7F"/>
    <w:rPr>
      <w:rFonts w:cs="Source Sans Pro"/>
      <w:color w:val="211D1E"/>
      <w:sz w:val="18"/>
      <w:szCs w:val="18"/>
    </w:rPr>
  </w:style>
  <w:style w:type="paragraph" w:customStyle="1" w:styleId="Pa117">
    <w:name w:val="Pa1_17"/>
    <w:basedOn w:val="Normal"/>
    <w:next w:val="Normal"/>
    <w:uiPriority w:val="99"/>
    <w:rsid w:val="008F35F4"/>
    <w:pPr>
      <w:autoSpaceDE w:val="0"/>
      <w:autoSpaceDN w:val="0"/>
      <w:adjustRightInd w:val="0"/>
      <w:spacing w:line="241" w:lineRule="atLeast"/>
      <w:jc w:val="left"/>
    </w:pPr>
    <w:rPr>
      <w:rFonts w:ascii="Source Sans Pro" w:hAnsi="Source Sans Pro"/>
      <w:sz w:val="24"/>
      <w:szCs w:val="24"/>
    </w:rPr>
  </w:style>
  <w:style w:type="character" w:customStyle="1" w:styleId="A229">
    <w:name w:val="A2_29"/>
    <w:uiPriority w:val="99"/>
    <w:rsid w:val="008F35F4"/>
    <w:rPr>
      <w:rFonts w:cs="Source Sans Pro"/>
      <w:color w:val="211D1E"/>
      <w:sz w:val="18"/>
      <w:szCs w:val="18"/>
    </w:rPr>
  </w:style>
  <w:style w:type="character" w:customStyle="1" w:styleId="A230">
    <w:name w:val="A2_30"/>
    <w:uiPriority w:val="99"/>
    <w:rsid w:val="00E12BCB"/>
    <w:rPr>
      <w:rFonts w:cs="Source Sans Pro"/>
      <w:color w:val="211D1E"/>
      <w:sz w:val="18"/>
      <w:szCs w:val="18"/>
    </w:rPr>
  </w:style>
  <w:style w:type="character" w:customStyle="1" w:styleId="A231">
    <w:name w:val="A2_31"/>
    <w:uiPriority w:val="99"/>
    <w:rsid w:val="003248D9"/>
    <w:rPr>
      <w:rFonts w:cs="Source Sans Pro"/>
      <w:color w:val="211D1E"/>
      <w:sz w:val="18"/>
      <w:szCs w:val="18"/>
    </w:rPr>
  </w:style>
  <w:style w:type="character" w:customStyle="1" w:styleId="A132">
    <w:name w:val="A1_32"/>
    <w:uiPriority w:val="99"/>
    <w:rsid w:val="00CE0EA9"/>
    <w:rPr>
      <w:rFonts w:cs="Source Sans Pro"/>
      <w:color w:val="211D1E"/>
      <w:sz w:val="18"/>
      <w:szCs w:val="18"/>
    </w:rPr>
  </w:style>
  <w:style w:type="paragraph" w:customStyle="1" w:styleId="Pa017">
    <w:name w:val="Pa0_17"/>
    <w:basedOn w:val="Normal"/>
    <w:next w:val="Normal"/>
    <w:uiPriority w:val="99"/>
    <w:rsid w:val="00CE0EA9"/>
    <w:pPr>
      <w:autoSpaceDE w:val="0"/>
      <w:autoSpaceDN w:val="0"/>
      <w:adjustRightInd w:val="0"/>
      <w:spacing w:line="241" w:lineRule="atLeast"/>
      <w:jc w:val="left"/>
    </w:pPr>
    <w:rPr>
      <w:rFonts w:ascii="Source Sans Pro" w:hAnsi="Source Sans Pro"/>
      <w:sz w:val="24"/>
      <w:szCs w:val="24"/>
    </w:rPr>
  </w:style>
  <w:style w:type="paragraph" w:customStyle="1" w:styleId="Pa018">
    <w:name w:val="Pa0_18"/>
    <w:basedOn w:val="Normal"/>
    <w:next w:val="Normal"/>
    <w:uiPriority w:val="99"/>
    <w:rsid w:val="00660B54"/>
    <w:pPr>
      <w:autoSpaceDE w:val="0"/>
      <w:autoSpaceDN w:val="0"/>
      <w:adjustRightInd w:val="0"/>
      <w:spacing w:line="241" w:lineRule="atLeast"/>
      <w:jc w:val="left"/>
    </w:pPr>
    <w:rPr>
      <w:rFonts w:ascii="Source Sans Pro" w:hAnsi="Source Sans Pro"/>
      <w:sz w:val="24"/>
      <w:szCs w:val="24"/>
    </w:rPr>
  </w:style>
  <w:style w:type="character" w:customStyle="1" w:styleId="A133">
    <w:name w:val="A1_33"/>
    <w:uiPriority w:val="99"/>
    <w:rsid w:val="00660B54"/>
    <w:rPr>
      <w:rFonts w:cs="Source Sans Pro"/>
      <w:color w:val="211D1E"/>
      <w:sz w:val="18"/>
      <w:szCs w:val="18"/>
    </w:rPr>
  </w:style>
  <w:style w:type="paragraph" w:customStyle="1" w:styleId="Pa120">
    <w:name w:val="Pa1_20"/>
    <w:basedOn w:val="Normal"/>
    <w:next w:val="Normal"/>
    <w:uiPriority w:val="99"/>
    <w:rsid w:val="006B7062"/>
    <w:pPr>
      <w:autoSpaceDE w:val="0"/>
      <w:autoSpaceDN w:val="0"/>
      <w:adjustRightInd w:val="0"/>
      <w:spacing w:line="241" w:lineRule="atLeast"/>
      <w:jc w:val="left"/>
    </w:pPr>
    <w:rPr>
      <w:rFonts w:ascii="Source Sans Pro" w:hAnsi="Source Sans Pro"/>
      <w:sz w:val="24"/>
      <w:szCs w:val="24"/>
    </w:rPr>
  </w:style>
  <w:style w:type="character" w:customStyle="1" w:styleId="A234">
    <w:name w:val="A2_34"/>
    <w:uiPriority w:val="99"/>
    <w:rsid w:val="006B7062"/>
    <w:rPr>
      <w:rFonts w:cs="Source Sans Pro"/>
      <w:color w:val="211D1E"/>
      <w:sz w:val="18"/>
      <w:szCs w:val="18"/>
    </w:rPr>
  </w:style>
  <w:style w:type="character" w:customStyle="1" w:styleId="A235">
    <w:name w:val="A2_35"/>
    <w:uiPriority w:val="99"/>
    <w:rsid w:val="00AC60DD"/>
    <w:rPr>
      <w:rFonts w:cs="Source Sans Pro"/>
      <w:color w:val="211D1E"/>
      <w:sz w:val="18"/>
      <w:szCs w:val="18"/>
    </w:rPr>
  </w:style>
  <w:style w:type="paragraph" w:customStyle="1" w:styleId="Pa122">
    <w:name w:val="Pa1_22"/>
    <w:basedOn w:val="Normal"/>
    <w:next w:val="Normal"/>
    <w:uiPriority w:val="99"/>
    <w:rsid w:val="007C2CE6"/>
    <w:pPr>
      <w:autoSpaceDE w:val="0"/>
      <w:autoSpaceDN w:val="0"/>
      <w:adjustRightInd w:val="0"/>
      <w:spacing w:line="241" w:lineRule="atLeast"/>
      <w:jc w:val="left"/>
    </w:pPr>
    <w:rPr>
      <w:rFonts w:ascii="Source Sans Pro" w:hAnsi="Source Sans Pro"/>
      <w:sz w:val="24"/>
      <w:szCs w:val="24"/>
    </w:rPr>
  </w:style>
  <w:style w:type="character" w:customStyle="1" w:styleId="A236">
    <w:name w:val="A2_36"/>
    <w:uiPriority w:val="99"/>
    <w:rsid w:val="007C2CE6"/>
    <w:rPr>
      <w:rFonts w:cs="Source Sans Pro"/>
      <w:color w:val="211D1E"/>
      <w:sz w:val="18"/>
      <w:szCs w:val="18"/>
    </w:rPr>
  </w:style>
  <w:style w:type="character" w:customStyle="1" w:styleId="A141">
    <w:name w:val="A1_41"/>
    <w:uiPriority w:val="99"/>
    <w:rsid w:val="005F7E13"/>
    <w:rPr>
      <w:rFonts w:cs="Source Sans Pro"/>
      <w:color w:val="211D1E"/>
      <w:sz w:val="18"/>
      <w:szCs w:val="18"/>
    </w:rPr>
  </w:style>
  <w:style w:type="character" w:customStyle="1" w:styleId="A142">
    <w:name w:val="A1_42"/>
    <w:uiPriority w:val="99"/>
    <w:rsid w:val="006E3E6A"/>
    <w:rPr>
      <w:rFonts w:cs="Source Sans Pro"/>
      <w:color w:val="211D1E"/>
      <w:sz w:val="18"/>
      <w:szCs w:val="18"/>
    </w:rPr>
  </w:style>
  <w:style w:type="paragraph" w:customStyle="1" w:styleId="Pa023">
    <w:name w:val="Pa0_23"/>
    <w:basedOn w:val="Normal"/>
    <w:next w:val="Normal"/>
    <w:uiPriority w:val="99"/>
    <w:rsid w:val="006E3E6A"/>
    <w:pPr>
      <w:autoSpaceDE w:val="0"/>
      <w:autoSpaceDN w:val="0"/>
      <w:adjustRightInd w:val="0"/>
      <w:spacing w:line="241" w:lineRule="atLeast"/>
      <w:jc w:val="left"/>
    </w:pPr>
    <w:rPr>
      <w:rFonts w:ascii="Source Sans Pro" w:hAnsi="Source Sans Pro"/>
      <w:sz w:val="24"/>
      <w:szCs w:val="24"/>
    </w:rPr>
  </w:style>
  <w:style w:type="paragraph" w:customStyle="1" w:styleId="Pa025">
    <w:name w:val="Pa0_25"/>
    <w:basedOn w:val="Normal"/>
    <w:next w:val="Normal"/>
    <w:uiPriority w:val="99"/>
    <w:rsid w:val="003E0A77"/>
    <w:pPr>
      <w:autoSpaceDE w:val="0"/>
      <w:autoSpaceDN w:val="0"/>
      <w:adjustRightInd w:val="0"/>
      <w:spacing w:line="241" w:lineRule="atLeast"/>
      <w:jc w:val="left"/>
    </w:pPr>
    <w:rPr>
      <w:rFonts w:ascii="Source Sans Pro" w:hAnsi="Source Sans Pro"/>
      <w:sz w:val="24"/>
      <w:szCs w:val="24"/>
    </w:rPr>
  </w:style>
  <w:style w:type="character" w:customStyle="1" w:styleId="A144">
    <w:name w:val="A1_44"/>
    <w:uiPriority w:val="99"/>
    <w:rsid w:val="003E0A77"/>
    <w:rPr>
      <w:rFonts w:cs="Source Sans Pro"/>
      <w:color w:val="211D1E"/>
      <w:sz w:val="18"/>
      <w:szCs w:val="18"/>
    </w:rPr>
  </w:style>
  <w:style w:type="paragraph" w:customStyle="1" w:styleId="BasicParagraph">
    <w:name w:val="[Basic Paragraph]"/>
    <w:basedOn w:val="Normal"/>
    <w:uiPriority w:val="99"/>
    <w:rsid w:val="001B517C"/>
    <w:pPr>
      <w:autoSpaceDE w:val="0"/>
      <w:autoSpaceDN w:val="0"/>
      <w:adjustRightInd w:val="0"/>
      <w:spacing w:line="288" w:lineRule="auto"/>
      <w:jc w:val="left"/>
      <w:textAlignment w:val="center"/>
    </w:pPr>
    <w:rPr>
      <w:rFonts w:ascii="MinionPro-Regular" w:hAnsi="MinionPro-Regular" w:cs="MinionPro-Regular"/>
      <w:color w:val="000000"/>
      <w:sz w:val="24"/>
      <w:szCs w:val="24"/>
    </w:rPr>
  </w:style>
  <w:style w:type="character" w:styleId="UnresolvedMention">
    <w:name w:val="Unresolved Mention"/>
    <w:basedOn w:val="DefaultParagraphFont"/>
    <w:uiPriority w:val="99"/>
    <w:semiHidden/>
    <w:unhideWhenUsed/>
    <w:rsid w:val="00FC110E"/>
    <w:rPr>
      <w:color w:val="605E5C"/>
      <w:shd w:val="clear" w:color="auto" w:fill="E1DFDD"/>
    </w:rPr>
  </w:style>
  <w:style w:type="character" w:customStyle="1" w:styleId="normaltextrun">
    <w:name w:val="normaltextrun"/>
    <w:basedOn w:val="DefaultParagraphFont"/>
    <w:rsid w:val="006D561D"/>
  </w:style>
  <w:style w:type="paragraph" w:customStyle="1" w:styleId="paragraph">
    <w:name w:val="paragraph"/>
    <w:basedOn w:val="Normal"/>
    <w:rsid w:val="006D561D"/>
    <w:pPr>
      <w:spacing w:before="100" w:beforeAutospacing="1" w:after="100" w:afterAutospacing="1"/>
      <w:jc w:val="left"/>
    </w:pPr>
    <w:rPr>
      <w:rFonts w:ascii="Times New Roman" w:eastAsia="Times New Roman" w:hAnsi="Times New Roman" w:cs="Times New Roman"/>
      <w:sz w:val="24"/>
      <w:szCs w:val="24"/>
    </w:rPr>
  </w:style>
  <w:style w:type="character" w:customStyle="1" w:styleId="eop">
    <w:name w:val="eop"/>
    <w:basedOn w:val="DefaultParagraphFont"/>
    <w:rsid w:val="006D561D"/>
  </w:style>
  <w:style w:type="paragraph" w:styleId="NormalWeb">
    <w:name w:val="Normal (Web)"/>
    <w:basedOn w:val="Normal"/>
    <w:uiPriority w:val="99"/>
    <w:unhideWhenUsed/>
    <w:rsid w:val="00E06ED2"/>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5C2EA5"/>
    <w:pPr>
      <w:jc w:val="left"/>
    </w:pPr>
    <w:rPr>
      <w:sz w:val="20"/>
      <w:szCs w:val="20"/>
    </w:rPr>
  </w:style>
  <w:style w:type="character" w:customStyle="1" w:styleId="FootnoteTextChar">
    <w:name w:val="Footnote Text Char"/>
    <w:basedOn w:val="DefaultParagraphFont"/>
    <w:link w:val="FootnoteText"/>
    <w:uiPriority w:val="99"/>
    <w:semiHidden/>
    <w:rsid w:val="005C2EA5"/>
    <w:rPr>
      <w:sz w:val="20"/>
      <w:szCs w:val="20"/>
      <w:lang w:val="en-US"/>
    </w:rPr>
  </w:style>
  <w:style w:type="character" w:styleId="FootnoteReference">
    <w:name w:val="footnote reference"/>
    <w:basedOn w:val="DefaultParagraphFont"/>
    <w:uiPriority w:val="99"/>
    <w:semiHidden/>
    <w:unhideWhenUsed/>
    <w:rsid w:val="005C2EA5"/>
    <w:rPr>
      <w:vertAlign w:val="superscript"/>
    </w:rPr>
  </w:style>
  <w:style w:type="paragraph" w:styleId="Caption">
    <w:name w:val="caption"/>
    <w:basedOn w:val="Normal"/>
    <w:next w:val="Normal"/>
    <w:uiPriority w:val="35"/>
    <w:unhideWhenUsed/>
    <w:qFormat/>
    <w:rsid w:val="004F2F1D"/>
    <w:pPr>
      <w:spacing w:after="200"/>
    </w:pPr>
    <w:rPr>
      <w:i/>
      <w:iCs/>
      <w:color w:val="001E27" w:themeColor="text2"/>
      <w:sz w:val="18"/>
      <w:szCs w:val="18"/>
    </w:rPr>
  </w:style>
  <w:style w:type="paragraph" w:styleId="Revision">
    <w:name w:val="Revision"/>
    <w:hidden/>
    <w:uiPriority w:val="99"/>
    <w:semiHidden/>
    <w:rsid w:val="00262AFC"/>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5100">
      <w:bodyDiv w:val="1"/>
      <w:marLeft w:val="0"/>
      <w:marRight w:val="0"/>
      <w:marTop w:val="0"/>
      <w:marBottom w:val="0"/>
      <w:divBdr>
        <w:top w:val="none" w:sz="0" w:space="0" w:color="auto"/>
        <w:left w:val="none" w:sz="0" w:space="0" w:color="auto"/>
        <w:bottom w:val="none" w:sz="0" w:space="0" w:color="auto"/>
        <w:right w:val="none" w:sz="0" w:space="0" w:color="auto"/>
      </w:divBdr>
    </w:div>
    <w:div w:id="43217705">
      <w:bodyDiv w:val="1"/>
      <w:marLeft w:val="0"/>
      <w:marRight w:val="0"/>
      <w:marTop w:val="0"/>
      <w:marBottom w:val="0"/>
      <w:divBdr>
        <w:top w:val="none" w:sz="0" w:space="0" w:color="auto"/>
        <w:left w:val="none" w:sz="0" w:space="0" w:color="auto"/>
        <w:bottom w:val="none" w:sz="0" w:space="0" w:color="auto"/>
        <w:right w:val="none" w:sz="0" w:space="0" w:color="auto"/>
      </w:divBdr>
    </w:div>
    <w:div w:id="74325375">
      <w:bodyDiv w:val="1"/>
      <w:marLeft w:val="0"/>
      <w:marRight w:val="0"/>
      <w:marTop w:val="0"/>
      <w:marBottom w:val="0"/>
      <w:divBdr>
        <w:top w:val="none" w:sz="0" w:space="0" w:color="auto"/>
        <w:left w:val="none" w:sz="0" w:space="0" w:color="auto"/>
        <w:bottom w:val="none" w:sz="0" w:space="0" w:color="auto"/>
        <w:right w:val="none" w:sz="0" w:space="0" w:color="auto"/>
      </w:divBdr>
    </w:div>
    <w:div w:id="90900376">
      <w:bodyDiv w:val="1"/>
      <w:marLeft w:val="0"/>
      <w:marRight w:val="0"/>
      <w:marTop w:val="0"/>
      <w:marBottom w:val="0"/>
      <w:divBdr>
        <w:top w:val="none" w:sz="0" w:space="0" w:color="auto"/>
        <w:left w:val="none" w:sz="0" w:space="0" w:color="auto"/>
        <w:bottom w:val="none" w:sz="0" w:space="0" w:color="auto"/>
        <w:right w:val="none" w:sz="0" w:space="0" w:color="auto"/>
      </w:divBdr>
    </w:div>
    <w:div w:id="119884682">
      <w:bodyDiv w:val="1"/>
      <w:marLeft w:val="0"/>
      <w:marRight w:val="0"/>
      <w:marTop w:val="0"/>
      <w:marBottom w:val="0"/>
      <w:divBdr>
        <w:top w:val="none" w:sz="0" w:space="0" w:color="auto"/>
        <w:left w:val="none" w:sz="0" w:space="0" w:color="auto"/>
        <w:bottom w:val="none" w:sz="0" w:space="0" w:color="auto"/>
        <w:right w:val="none" w:sz="0" w:space="0" w:color="auto"/>
      </w:divBdr>
    </w:div>
    <w:div w:id="120924995">
      <w:bodyDiv w:val="1"/>
      <w:marLeft w:val="0"/>
      <w:marRight w:val="0"/>
      <w:marTop w:val="0"/>
      <w:marBottom w:val="0"/>
      <w:divBdr>
        <w:top w:val="none" w:sz="0" w:space="0" w:color="auto"/>
        <w:left w:val="none" w:sz="0" w:space="0" w:color="auto"/>
        <w:bottom w:val="none" w:sz="0" w:space="0" w:color="auto"/>
        <w:right w:val="none" w:sz="0" w:space="0" w:color="auto"/>
      </w:divBdr>
    </w:div>
    <w:div w:id="123273902">
      <w:bodyDiv w:val="1"/>
      <w:marLeft w:val="0"/>
      <w:marRight w:val="0"/>
      <w:marTop w:val="0"/>
      <w:marBottom w:val="0"/>
      <w:divBdr>
        <w:top w:val="none" w:sz="0" w:space="0" w:color="auto"/>
        <w:left w:val="none" w:sz="0" w:space="0" w:color="auto"/>
        <w:bottom w:val="none" w:sz="0" w:space="0" w:color="auto"/>
        <w:right w:val="none" w:sz="0" w:space="0" w:color="auto"/>
      </w:divBdr>
    </w:div>
    <w:div w:id="182911049">
      <w:bodyDiv w:val="1"/>
      <w:marLeft w:val="0"/>
      <w:marRight w:val="0"/>
      <w:marTop w:val="0"/>
      <w:marBottom w:val="0"/>
      <w:divBdr>
        <w:top w:val="none" w:sz="0" w:space="0" w:color="auto"/>
        <w:left w:val="none" w:sz="0" w:space="0" w:color="auto"/>
        <w:bottom w:val="none" w:sz="0" w:space="0" w:color="auto"/>
        <w:right w:val="none" w:sz="0" w:space="0" w:color="auto"/>
      </w:divBdr>
    </w:div>
    <w:div w:id="211767906">
      <w:bodyDiv w:val="1"/>
      <w:marLeft w:val="0"/>
      <w:marRight w:val="0"/>
      <w:marTop w:val="0"/>
      <w:marBottom w:val="0"/>
      <w:divBdr>
        <w:top w:val="none" w:sz="0" w:space="0" w:color="auto"/>
        <w:left w:val="none" w:sz="0" w:space="0" w:color="auto"/>
        <w:bottom w:val="none" w:sz="0" w:space="0" w:color="auto"/>
        <w:right w:val="none" w:sz="0" w:space="0" w:color="auto"/>
      </w:divBdr>
    </w:div>
    <w:div w:id="234710375">
      <w:bodyDiv w:val="1"/>
      <w:marLeft w:val="0"/>
      <w:marRight w:val="0"/>
      <w:marTop w:val="0"/>
      <w:marBottom w:val="0"/>
      <w:divBdr>
        <w:top w:val="none" w:sz="0" w:space="0" w:color="auto"/>
        <w:left w:val="none" w:sz="0" w:space="0" w:color="auto"/>
        <w:bottom w:val="none" w:sz="0" w:space="0" w:color="auto"/>
        <w:right w:val="none" w:sz="0" w:space="0" w:color="auto"/>
      </w:divBdr>
    </w:div>
    <w:div w:id="262693966">
      <w:bodyDiv w:val="1"/>
      <w:marLeft w:val="0"/>
      <w:marRight w:val="0"/>
      <w:marTop w:val="0"/>
      <w:marBottom w:val="0"/>
      <w:divBdr>
        <w:top w:val="none" w:sz="0" w:space="0" w:color="auto"/>
        <w:left w:val="none" w:sz="0" w:space="0" w:color="auto"/>
        <w:bottom w:val="none" w:sz="0" w:space="0" w:color="auto"/>
        <w:right w:val="none" w:sz="0" w:space="0" w:color="auto"/>
      </w:divBdr>
    </w:div>
    <w:div w:id="276375396">
      <w:bodyDiv w:val="1"/>
      <w:marLeft w:val="0"/>
      <w:marRight w:val="0"/>
      <w:marTop w:val="0"/>
      <w:marBottom w:val="0"/>
      <w:divBdr>
        <w:top w:val="none" w:sz="0" w:space="0" w:color="auto"/>
        <w:left w:val="none" w:sz="0" w:space="0" w:color="auto"/>
        <w:bottom w:val="none" w:sz="0" w:space="0" w:color="auto"/>
        <w:right w:val="none" w:sz="0" w:space="0" w:color="auto"/>
      </w:divBdr>
    </w:div>
    <w:div w:id="283392804">
      <w:bodyDiv w:val="1"/>
      <w:marLeft w:val="0"/>
      <w:marRight w:val="0"/>
      <w:marTop w:val="0"/>
      <w:marBottom w:val="0"/>
      <w:divBdr>
        <w:top w:val="none" w:sz="0" w:space="0" w:color="auto"/>
        <w:left w:val="none" w:sz="0" w:space="0" w:color="auto"/>
        <w:bottom w:val="none" w:sz="0" w:space="0" w:color="auto"/>
        <w:right w:val="none" w:sz="0" w:space="0" w:color="auto"/>
      </w:divBdr>
    </w:div>
    <w:div w:id="289285750">
      <w:bodyDiv w:val="1"/>
      <w:marLeft w:val="0"/>
      <w:marRight w:val="0"/>
      <w:marTop w:val="0"/>
      <w:marBottom w:val="0"/>
      <w:divBdr>
        <w:top w:val="none" w:sz="0" w:space="0" w:color="auto"/>
        <w:left w:val="none" w:sz="0" w:space="0" w:color="auto"/>
        <w:bottom w:val="none" w:sz="0" w:space="0" w:color="auto"/>
        <w:right w:val="none" w:sz="0" w:space="0" w:color="auto"/>
      </w:divBdr>
    </w:div>
    <w:div w:id="297732208">
      <w:bodyDiv w:val="1"/>
      <w:marLeft w:val="0"/>
      <w:marRight w:val="0"/>
      <w:marTop w:val="0"/>
      <w:marBottom w:val="0"/>
      <w:divBdr>
        <w:top w:val="none" w:sz="0" w:space="0" w:color="auto"/>
        <w:left w:val="none" w:sz="0" w:space="0" w:color="auto"/>
        <w:bottom w:val="none" w:sz="0" w:space="0" w:color="auto"/>
        <w:right w:val="none" w:sz="0" w:space="0" w:color="auto"/>
      </w:divBdr>
    </w:div>
    <w:div w:id="304094158">
      <w:bodyDiv w:val="1"/>
      <w:marLeft w:val="0"/>
      <w:marRight w:val="0"/>
      <w:marTop w:val="0"/>
      <w:marBottom w:val="0"/>
      <w:divBdr>
        <w:top w:val="none" w:sz="0" w:space="0" w:color="auto"/>
        <w:left w:val="none" w:sz="0" w:space="0" w:color="auto"/>
        <w:bottom w:val="none" w:sz="0" w:space="0" w:color="auto"/>
        <w:right w:val="none" w:sz="0" w:space="0" w:color="auto"/>
      </w:divBdr>
    </w:div>
    <w:div w:id="324556020">
      <w:bodyDiv w:val="1"/>
      <w:marLeft w:val="0"/>
      <w:marRight w:val="0"/>
      <w:marTop w:val="0"/>
      <w:marBottom w:val="0"/>
      <w:divBdr>
        <w:top w:val="none" w:sz="0" w:space="0" w:color="auto"/>
        <w:left w:val="none" w:sz="0" w:space="0" w:color="auto"/>
        <w:bottom w:val="none" w:sz="0" w:space="0" w:color="auto"/>
        <w:right w:val="none" w:sz="0" w:space="0" w:color="auto"/>
      </w:divBdr>
    </w:div>
    <w:div w:id="341861111">
      <w:bodyDiv w:val="1"/>
      <w:marLeft w:val="0"/>
      <w:marRight w:val="0"/>
      <w:marTop w:val="0"/>
      <w:marBottom w:val="0"/>
      <w:divBdr>
        <w:top w:val="none" w:sz="0" w:space="0" w:color="auto"/>
        <w:left w:val="none" w:sz="0" w:space="0" w:color="auto"/>
        <w:bottom w:val="none" w:sz="0" w:space="0" w:color="auto"/>
        <w:right w:val="none" w:sz="0" w:space="0" w:color="auto"/>
      </w:divBdr>
    </w:div>
    <w:div w:id="354891508">
      <w:bodyDiv w:val="1"/>
      <w:marLeft w:val="0"/>
      <w:marRight w:val="0"/>
      <w:marTop w:val="0"/>
      <w:marBottom w:val="0"/>
      <w:divBdr>
        <w:top w:val="none" w:sz="0" w:space="0" w:color="auto"/>
        <w:left w:val="none" w:sz="0" w:space="0" w:color="auto"/>
        <w:bottom w:val="none" w:sz="0" w:space="0" w:color="auto"/>
        <w:right w:val="none" w:sz="0" w:space="0" w:color="auto"/>
      </w:divBdr>
    </w:div>
    <w:div w:id="390924800">
      <w:bodyDiv w:val="1"/>
      <w:marLeft w:val="0"/>
      <w:marRight w:val="0"/>
      <w:marTop w:val="0"/>
      <w:marBottom w:val="0"/>
      <w:divBdr>
        <w:top w:val="none" w:sz="0" w:space="0" w:color="auto"/>
        <w:left w:val="none" w:sz="0" w:space="0" w:color="auto"/>
        <w:bottom w:val="none" w:sz="0" w:space="0" w:color="auto"/>
        <w:right w:val="none" w:sz="0" w:space="0" w:color="auto"/>
      </w:divBdr>
    </w:div>
    <w:div w:id="408429259">
      <w:bodyDiv w:val="1"/>
      <w:marLeft w:val="0"/>
      <w:marRight w:val="0"/>
      <w:marTop w:val="0"/>
      <w:marBottom w:val="0"/>
      <w:divBdr>
        <w:top w:val="none" w:sz="0" w:space="0" w:color="auto"/>
        <w:left w:val="none" w:sz="0" w:space="0" w:color="auto"/>
        <w:bottom w:val="none" w:sz="0" w:space="0" w:color="auto"/>
        <w:right w:val="none" w:sz="0" w:space="0" w:color="auto"/>
      </w:divBdr>
    </w:div>
    <w:div w:id="413825237">
      <w:bodyDiv w:val="1"/>
      <w:marLeft w:val="0"/>
      <w:marRight w:val="0"/>
      <w:marTop w:val="0"/>
      <w:marBottom w:val="0"/>
      <w:divBdr>
        <w:top w:val="none" w:sz="0" w:space="0" w:color="auto"/>
        <w:left w:val="none" w:sz="0" w:space="0" w:color="auto"/>
        <w:bottom w:val="none" w:sz="0" w:space="0" w:color="auto"/>
        <w:right w:val="none" w:sz="0" w:space="0" w:color="auto"/>
      </w:divBdr>
    </w:div>
    <w:div w:id="484392355">
      <w:bodyDiv w:val="1"/>
      <w:marLeft w:val="0"/>
      <w:marRight w:val="0"/>
      <w:marTop w:val="0"/>
      <w:marBottom w:val="0"/>
      <w:divBdr>
        <w:top w:val="none" w:sz="0" w:space="0" w:color="auto"/>
        <w:left w:val="none" w:sz="0" w:space="0" w:color="auto"/>
        <w:bottom w:val="none" w:sz="0" w:space="0" w:color="auto"/>
        <w:right w:val="none" w:sz="0" w:space="0" w:color="auto"/>
      </w:divBdr>
    </w:div>
    <w:div w:id="511574052">
      <w:bodyDiv w:val="1"/>
      <w:marLeft w:val="0"/>
      <w:marRight w:val="0"/>
      <w:marTop w:val="0"/>
      <w:marBottom w:val="0"/>
      <w:divBdr>
        <w:top w:val="none" w:sz="0" w:space="0" w:color="auto"/>
        <w:left w:val="none" w:sz="0" w:space="0" w:color="auto"/>
        <w:bottom w:val="none" w:sz="0" w:space="0" w:color="auto"/>
        <w:right w:val="none" w:sz="0" w:space="0" w:color="auto"/>
      </w:divBdr>
    </w:div>
    <w:div w:id="527455506">
      <w:bodyDiv w:val="1"/>
      <w:marLeft w:val="0"/>
      <w:marRight w:val="0"/>
      <w:marTop w:val="0"/>
      <w:marBottom w:val="0"/>
      <w:divBdr>
        <w:top w:val="none" w:sz="0" w:space="0" w:color="auto"/>
        <w:left w:val="none" w:sz="0" w:space="0" w:color="auto"/>
        <w:bottom w:val="none" w:sz="0" w:space="0" w:color="auto"/>
        <w:right w:val="none" w:sz="0" w:space="0" w:color="auto"/>
      </w:divBdr>
    </w:div>
    <w:div w:id="538473050">
      <w:bodyDiv w:val="1"/>
      <w:marLeft w:val="0"/>
      <w:marRight w:val="0"/>
      <w:marTop w:val="0"/>
      <w:marBottom w:val="0"/>
      <w:divBdr>
        <w:top w:val="none" w:sz="0" w:space="0" w:color="auto"/>
        <w:left w:val="none" w:sz="0" w:space="0" w:color="auto"/>
        <w:bottom w:val="none" w:sz="0" w:space="0" w:color="auto"/>
        <w:right w:val="none" w:sz="0" w:space="0" w:color="auto"/>
      </w:divBdr>
    </w:div>
    <w:div w:id="541944043">
      <w:bodyDiv w:val="1"/>
      <w:marLeft w:val="0"/>
      <w:marRight w:val="0"/>
      <w:marTop w:val="0"/>
      <w:marBottom w:val="0"/>
      <w:divBdr>
        <w:top w:val="none" w:sz="0" w:space="0" w:color="auto"/>
        <w:left w:val="none" w:sz="0" w:space="0" w:color="auto"/>
        <w:bottom w:val="none" w:sz="0" w:space="0" w:color="auto"/>
        <w:right w:val="none" w:sz="0" w:space="0" w:color="auto"/>
      </w:divBdr>
    </w:div>
    <w:div w:id="547961991">
      <w:bodyDiv w:val="1"/>
      <w:marLeft w:val="0"/>
      <w:marRight w:val="0"/>
      <w:marTop w:val="0"/>
      <w:marBottom w:val="0"/>
      <w:divBdr>
        <w:top w:val="none" w:sz="0" w:space="0" w:color="auto"/>
        <w:left w:val="none" w:sz="0" w:space="0" w:color="auto"/>
        <w:bottom w:val="none" w:sz="0" w:space="0" w:color="auto"/>
        <w:right w:val="none" w:sz="0" w:space="0" w:color="auto"/>
      </w:divBdr>
      <w:divsChild>
        <w:div w:id="201137869">
          <w:marLeft w:val="0"/>
          <w:marRight w:val="0"/>
          <w:marTop w:val="0"/>
          <w:marBottom w:val="0"/>
          <w:divBdr>
            <w:top w:val="none" w:sz="0" w:space="0" w:color="auto"/>
            <w:left w:val="none" w:sz="0" w:space="0" w:color="auto"/>
            <w:bottom w:val="none" w:sz="0" w:space="0" w:color="auto"/>
            <w:right w:val="none" w:sz="0" w:space="0" w:color="auto"/>
          </w:divBdr>
          <w:divsChild>
            <w:div w:id="1572618225">
              <w:marLeft w:val="0"/>
              <w:marRight w:val="0"/>
              <w:marTop w:val="0"/>
              <w:marBottom w:val="0"/>
              <w:divBdr>
                <w:top w:val="none" w:sz="0" w:space="0" w:color="auto"/>
                <w:left w:val="none" w:sz="0" w:space="0" w:color="auto"/>
                <w:bottom w:val="none" w:sz="0" w:space="0" w:color="auto"/>
                <w:right w:val="none" w:sz="0" w:space="0" w:color="auto"/>
              </w:divBdr>
            </w:div>
            <w:div w:id="1803376963">
              <w:marLeft w:val="0"/>
              <w:marRight w:val="0"/>
              <w:marTop w:val="0"/>
              <w:marBottom w:val="0"/>
              <w:divBdr>
                <w:top w:val="none" w:sz="0" w:space="0" w:color="auto"/>
                <w:left w:val="none" w:sz="0" w:space="0" w:color="auto"/>
                <w:bottom w:val="none" w:sz="0" w:space="0" w:color="auto"/>
                <w:right w:val="none" w:sz="0" w:space="0" w:color="auto"/>
              </w:divBdr>
            </w:div>
          </w:divsChild>
        </w:div>
        <w:div w:id="523400445">
          <w:marLeft w:val="0"/>
          <w:marRight w:val="0"/>
          <w:marTop w:val="0"/>
          <w:marBottom w:val="0"/>
          <w:divBdr>
            <w:top w:val="none" w:sz="0" w:space="0" w:color="auto"/>
            <w:left w:val="none" w:sz="0" w:space="0" w:color="auto"/>
            <w:bottom w:val="none" w:sz="0" w:space="0" w:color="auto"/>
            <w:right w:val="none" w:sz="0" w:space="0" w:color="auto"/>
          </w:divBdr>
          <w:divsChild>
            <w:div w:id="327564988">
              <w:marLeft w:val="0"/>
              <w:marRight w:val="0"/>
              <w:marTop w:val="0"/>
              <w:marBottom w:val="0"/>
              <w:divBdr>
                <w:top w:val="none" w:sz="0" w:space="0" w:color="auto"/>
                <w:left w:val="none" w:sz="0" w:space="0" w:color="auto"/>
                <w:bottom w:val="none" w:sz="0" w:space="0" w:color="auto"/>
                <w:right w:val="none" w:sz="0" w:space="0" w:color="auto"/>
              </w:divBdr>
            </w:div>
            <w:div w:id="1228029960">
              <w:marLeft w:val="0"/>
              <w:marRight w:val="0"/>
              <w:marTop w:val="0"/>
              <w:marBottom w:val="0"/>
              <w:divBdr>
                <w:top w:val="none" w:sz="0" w:space="0" w:color="auto"/>
                <w:left w:val="none" w:sz="0" w:space="0" w:color="auto"/>
                <w:bottom w:val="none" w:sz="0" w:space="0" w:color="auto"/>
                <w:right w:val="none" w:sz="0" w:space="0" w:color="auto"/>
              </w:divBdr>
            </w:div>
          </w:divsChild>
        </w:div>
        <w:div w:id="835728875">
          <w:marLeft w:val="0"/>
          <w:marRight w:val="0"/>
          <w:marTop w:val="0"/>
          <w:marBottom w:val="0"/>
          <w:divBdr>
            <w:top w:val="none" w:sz="0" w:space="0" w:color="auto"/>
            <w:left w:val="none" w:sz="0" w:space="0" w:color="auto"/>
            <w:bottom w:val="none" w:sz="0" w:space="0" w:color="auto"/>
            <w:right w:val="none" w:sz="0" w:space="0" w:color="auto"/>
          </w:divBdr>
        </w:div>
        <w:div w:id="849368629">
          <w:marLeft w:val="0"/>
          <w:marRight w:val="0"/>
          <w:marTop w:val="0"/>
          <w:marBottom w:val="0"/>
          <w:divBdr>
            <w:top w:val="none" w:sz="0" w:space="0" w:color="auto"/>
            <w:left w:val="none" w:sz="0" w:space="0" w:color="auto"/>
            <w:bottom w:val="none" w:sz="0" w:space="0" w:color="auto"/>
            <w:right w:val="none" w:sz="0" w:space="0" w:color="auto"/>
          </w:divBdr>
          <w:divsChild>
            <w:div w:id="51201158">
              <w:marLeft w:val="0"/>
              <w:marRight w:val="0"/>
              <w:marTop w:val="0"/>
              <w:marBottom w:val="0"/>
              <w:divBdr>
                <w:top w:val="none" w:sz="0" w:space="0" w:color="auto"/>
                <w:left w:val="none" w:sz="0" w:space="0" w:color="auto"/>
                <w:bottom w:val="none" w:sz="0" w:space="0" w:color="auto"/>
                <w:right w:val="none" w:sz="0" w:space="0" w:color="auto"/>
              </w:divBdr>
            </w:div>
            <w:div w:id="1020862333">
              <w:marLeft w:val="0"/>
              <w:marRight w:val="0"/>
              <w:marTop w:val="0"/>
              <w:marBottom w:val="0"/>
              <w:divBdr>
                <w:top w:val="none" w:sz="0" w:space="0" w:color="auto"/>
                <w:left w:val="none" w:sz="0" w:space="0" w:color="auto"/>
                <w:bottom w:val="none" w:sz="0" w:space="0" w:color="auto"/>
                <w:right w:val="none" w:sz="0" w:space="0" w:color="auto"/>
              </w:divBdr>
            </w:div>
            <w:div w:id="1029447824">
              <w:marLeft w:val="0"/>
              <w:marRight w:val="0"/>
              <w:marTop w:val="0"/>
              <w:marBottom w:val="0"/>
              <w:divBdr>
                <w:top w:val="none" w:sz="0" w:space="0" w:color="auto"/>
                <w:left w:val="none" w:sz="0" w:space="0" w:color="auto"/>
                <w:bottom w:val="none" w:sz="0" w:space="0" w:color="auto"/>
                <w:right w:val="none" w:sz="0" w:space="0" w:color="auto"/>
              </w:divBdr>
            </w:div>
            <w:div w:id="1175026564">
              <w:marLeft w:val="0"/>
              <w:marRight w:val="0"/>
              <w:marTop w:val="0"/>
              <w:marBottom w:val="0"/>
              <w:divBdr>
                <w:top w:val="none" w:sz="0" w:space="0" w:color="auto"/>
                <w:left w:val="none" w:sz="0" w:space="0" w:color="auto"/>
                <w:bottom w:val="none" w:sz="0" w:space="0" w:color="auto"/>
                <w:right w:val="none" w:sz="0" w:space="0" w:color="auto"/>
              </w:divBdr>
            </w:div>
            <w:div w:id="1825465802">
              <w:marLeft w:val="0"/>
              <w:marRight w:val="0"/>
              <w:marTop w:val="0"/>
              <w:marBottom w:val="0"/>
              <w:divBdr>
                <w:top w:val="none" w:sz="0" w:space="0" w:color="auto"/>
                <w:left w:val="none" w:sz="0" w:space="0" w:color="auto"/>
                <w:bottom w:val="none" w:sz="0" w:space="0" w:color="auto"/>
                <w:right w:val="none" w:sz="0" w:space="0" w:color="auto"/>
              </w:divBdr>
            </w:div>
          </w:divsChild>
        </w:div>
        <w:div w:id="1267226478">
          <w:marLeft w:val="0"/>
          <w:marRight w:val="0"/>
          <w:marTop w:val="0"/>
          <w:marBottom w:val="0"/>
          <w:divBdr>
            <w:top w:val="none" w:sz="0" w:space="0" w:color="auto"/>
            <w:left w:val="none" w:sz="0" w:space="0" w:color="auto"/>
            <w:bottom w:val="none" w:sz="0" w:space="0" w:color="auto"/>
            <w:right w:val="none" w:sz="0" w:space="0" w:color="auto"/>
          </w:divBdr>
          <w:divsChild>
            <w:div w:id="158741146">
              <w:marLeft w:val="0"/>
              <w:marRight w:val="0"/>
              <w:marTop w:val="0"/>
              <w:marBottom w:val="0"/>
              <w:divBdr>
                <w:top w:val="none" w:sz="0" w:space="0" w:color="auto"/>
                <w:left w:val="none" w:sz="0" w:space="0" w:color="auto"/>
                <w:bottom w:val="none" w:sz="0" w:space="0" w:color="auto"/>
                <w:right w:val="none" w:sz="0" w:space="0" w:color="auto"/>
              </w:divBdr>
            </w:div>
            <w:div w:id="742527589">
              <w:marLeft w:val="0"/>
              <w:marRight w:val="0"/>
              <w:marTop w:val="0"/>
              <w:marBottom w:val="0"/>
              <w:divBdr>
                <w:top w:val="none" w:sz="0" w:space="0" w:color="auto"/>
                <w:left w:val="none" w:sz="0" w:space="0" w:color="auto"/>
                <w:bottom w:val="none" w:sz="0" w:space="0" w:color="auto"/>
                <w:right w:val="none" w:sz="0" w:space="0" w:color="auto"/>
              </w:divBdr>
            </w:div>
            <w:div w:id="843474788">
              <w:marLeft w:val="0"/>
              <w:marRight w:val="0"/>
              <w:marTop w:val="0"/>
              <w:marBottom w:val="0"/>
              <w:divBdr>
                <w:top w:val="none" w:sz="0" w:space="0" w:color="auto"/>
                <w:left w:val="none" w:sz="0" w:space="0" w:color="auto"/>
                <w:bottom w:val="none" w:sz="0" w:space="0" w:color="auto"/>
                <w:right w:val="none" w:sz="0" w:space="0" w:color="auto"/>
              </w:divBdr>
            </w:div>
            <w:div w:id="1950701269">
              <w:marLeft w:val="0"/>
              <w:marRight w:val="0"/>
              <w:marTop w:val="0"/>
              <w:marBottom w:val="0"/>
              <w:divBdr>
                <w:top w:val="none" w:sz="0" w:space="0" w:color="auto"/>
                <w:left w:val="none" w:sz="0" w:space="0" w:color="auto"/>
                <w:bottom w:val="none" w:sz="0" w:space="0" w:color="auto"/>
                <w:right w:val="none" w:sz="0" w:space="0" w:color="auto"/>
              </w:divBdr>
            </w:div>
          </w:divsChild>
        </w:div>
        <w:div w:id="1479421963">
          <w:marLeft w:val="0"/>
          <w:marRight w:val="0"/>
          <w:marTop w:val="0"/>
          <w:marBottom w:val="0"/>
          <w:divBdr>
            <w:top w:val="none" w:sz="0" w:space="0" w:color="auto"/>
            <w:left w:val="none" w:sz="0" w:space="0" w:color="auto"/>
            <w:bottom w:val="none" w:sz="0" w:space="0" w:color="auto"/>
            <w:right w:val="none" w:sz="0" w:space="0" w:color="auto"/>
          </w:divBdr>
          <w:divsChild>
            <w:div w:id="166140896">
              <w:marLeft w:val="0"/>
              <w:marRight w:val="0"/>
              <w:marTop w:val="0"/>
              <w:marBottom w:val="0"/>
              <w:divBdr>
                <w:top w:val="none" w:sz="0" w:space="0" w:color="auto"/>
                <w:left w:val="none" w:sz="0" w:space="0" w:color="auto"/>
                <w:bottom w:val="none" w:sz="0" w:space="0" w:color="auto"/>
                <w:right w:val="none" w:sz="0" w:space="0" w:color="auto"/>
              </w:divBdr>
            </w:div>
            <w:div w:id="8463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3200">
      <w:bodyDiv w:val="1"/>
      <w:marLeft w:val="0"/>
      <w:marRight w:val="0"/>
      <w:marTop w:val="0"/>
      <w:marBottom w:val="0"/>
      <w:divBdr>
        <w:top w:val="none" w:sz="0" w:space="0" w:color="auto"/>
        <w:left w:val="none" w:sz="0" w:space="0" w:color="auto"/>
        <w:bottom w:val="none" w:sz="0" w:space="0" w:color="auto"/>
        <w:right w:val="none" w:sz="0" w:space="0" w:color="auto"/>
      </w:divBdr>
    </w:div>
    <w:div w:id="674452832">
      <w:bodyDiv w:val="1"/>
      <w:marLeft w:val="0"/>
      <w:marRight w:val="0"/>
      <w:marTop w:val="0"/>
      <w:marBottom w:val="0"/>
      <w:divBdr>
        <w:top w:val="none" w:sz="0" w:space="0" w:color="auto"/>
        <w:left w:val="none" w:sz="0" w:space="0" w:color="auto"/>
        <w:bottom w:val="none" w:sz="0" w:space="0" w:color="auto"/>
        <w:right w:val="none" w:sz="0" w:space="0" w:color="auto"/>
      </w:divBdr>
    </w:div>
    <w:div w:id="685792579">
      <w:bodyDiv w:val="1"/>
      <w:marLeft w:val="0"/>
      <w:marRight w:val="0"/>
      <w:marTop w:val="0"/>
      <w:marBottom w:val="0"/>
      <w:divBdr>
        <w:top w:val="none" w:sz="0" w:space="0" w:color="auto"/>
        <w:left w:val="none" w:sz="0" w:space="0" w:color="auto"/>
        <w:bottom w:val="none" w:sz="0" w:space="0" w:color="auto"/>
        <w:right w:val="none" w:sz="0" w:space="0" w:color="auto"/>
      </w:divBdr>
    </w:div>
    <w:div w:id="731006274">
      <w:bodyDiv w:val="1"/>
      <w:marLeft w:val="0"/>
      <w:marRight w:val="0"/>
      <w:marTop w:val="0"/>
      <w:marBottom w:val="0"/>
      <w:divBdr>
        <w:top w:val="none" w:sz="0" w:space="0" w:color="auto"/>
        <w:left w:val="none" w:sz="0" w:space="0" w:color="auto"/>
        <w:bottom w:val="none" w:sz="0" w:space="0" w:color="auto"/>
        <w:right w:val="none" w:sz="0" w:space="0" w:color="auto"/>
      </w:divBdr>
    </w:div>
    <w:div w:id="746726242">
      <w:bodyDiv w:val="1"/>
      <w:marLeft w:val="0"/>
      <w:marRight w:val="0"/>
      <w:marTop w:val="0"/>
      <w:marBottom w:val="0"/>
      <w:divBdr>
        <w:top w:val="none" w:sz="0" w:space="0" w:color="auto"/>
        <w:left w:val="none" w:sz="0" w:space="0" w:color="auto"/>
        <w:bottom w:val="none" w:sz="0" w:space="0" w:color="auto"/>
        <w:right w:val="none" w:sz="0" w:space="0" w:color="auto"/>
      </w:divBdr>
    </w:div>
    <w:div w:id="750583832">
      <w:bodyDiv w:val="1"/>
      <w:marLeft w:val="0"/>
      <w:marRight w:val="0"/>
      <w:marTop w:val="0"/>
      <w:marBottom w:val="0"/>
      <w:divBdr>
        <w:top w:val="none" w:sz="0" w:space="0" w:color="auto"/>
        <w:left w:val="none" w:sz="0" w:space="0" w:color="auto"/>
        <w:bottom w:val="none" w:sz="0" w:space="0" w:color="auto"/>
        <w:right w:val="none" w:sz="0" w:space="0" w:color="auto"/>
      </w:divBdr>
    </w:div>
    <w:div w:id="783111100">
      <w:bodyDiv w:val="1"/>
      <w:marLeft w:val="0"/>
      <w:marRight w:val="0"/>
      <w:marTop w:val="0"/>
      <w:marBottom w:val="0"/>
      <w:divBdr>
        <w:top w:val="none" w:sz="0" w:space="0" w:color="auto"/>
        <w:left w:val="none" w:sz="0" w:space="0" w:color="auto"/>
        <w:bottom w:val="none" w:sz="0" w:space="0" w:color="auto"/>
        <w:right w:val="none" w:sz="0" w:space="0" w:color="auto"/>
      </w:divBdr>
    </w:div>
    <w:div w:id="820316212">
      <w:bodyDiv w:val="1"/>
      <w:marLeft w:val="0"/>
      <w:marRight w:val="0"/>
      <w:marTop w:val="0"/>
      <w:marBottom w:val="0"/>
      <w:divBdr>
        <w:top w:val="none" w:sz="0" w:space="0" w:color="auto"/>
        <w:left w:val="none" w:sz="0" w:space="0" w:color="auto"/>
        <w:bottom w:val="none" w:sz="0" w:space="0" w:color="auto"/>
        <w:right w:val="none" w:sz="0" w:space="0" w:color="auto"/>
      </w:divBdr>
    </w:div>
    <w:div w:id="853110819">
      <w:bodyDiv w:val="1"/>
      <w:marLeft w:val="0"/>
      <w:marRight w:val="0"/>
      <w:marTop w:val="0"/>
      <w:marBottom w:val="0"/>
      <w:divBdr>
        <w:top w:val="none" w:sz="0" w:space="0" w:color="auto"/>
        <w:left w:val="none" w:sz="0" w:space="0" w:color="auto"/>
        <w:bottom w:val="none" w:sz="0" w:space="0" w:color="auto"/>
        <w:right w:val="none" w:sz="0" w:space="0" w:color="auto"/>
      </w:divBdr>
    </w:div>
    <w:div w:id="872691641">
      <w:bodyDiv w:val="1"/>
      <w:marLeft w:val="0"/>
      <w:marRight w:val="0"/>
      <w:marTop w:val="0"/>
      <w:marBottom w:val="0"/>
      <w:divBdr>
        <w:top w:val="none" w:sz="0" w:space="0" w:color="auto"/>
        <w:left w:val="none" w:sz="0" w:space="0" w:color="auto"/>
        <w:bottom w:val="none" w:sz="0" w:space="0" w:color="auto"/>
        <w:right w:val="none" w:sz="0" w:space="0" w:color="auto"/>
      </w:divBdr>
    </w:div>
    <w:div w:id="881480581">
      <w:bodyDiv w:val="1"/>
      <w:marLeft w:val="0"/>
      <w:marRight w:val="0"/>
      <w:marTop w:val="0"/>
      <w:marBottom w:val="0"/>
      <w:divBdr>
        <w:top w:val="none" w:sz="0" w:space="0" w:color="auto"/>
        <w:left w:val="none" w:sz="0" w:space="0" w:color="auto"/>
        <w:bottom w:val="none" w:sz="0" w:space="0" w:color="auto"/>
        <w:right w:val="none" w:sz="0" w:space="0" w:color="auto"/>
      </w:divBdr>
    </w:div>
    <w:div w:id="882448591">
      <w:bodyDiv w:val="1"/>
      <w:marLeft w:val="0"/>
      <w:marRight w:val="0"/>
      <w:marTop w:val="0"/>
      <w:marBottom w:val="0"/>
      <w:divBdr>
        <w:top w:val="none" w:sz="0" w:space="0" w:color="auto"/>
        <w:left w:val="none" w:sz="0" w:space="0" w:color="auto"/>
        <w:bottom w:val="none" w:sz="0" w:space="0" w:color="auto"/>
        <w:right w:val="none" w:sz="0" w:space="0" w:color="auto"/>
      </w:divBdr>
    </w:div>
    <w:div w:id="895819912">
      <w:bodyDiv w:val="1"/>
      <w:marLeft w:val="0"/>
      <w:marRight w:val="0"/>
      <w:marTop w:val="0"/>
      <w:marBottom w:val="0"/>
      <w:divBdr>
        <w:top w:val="none" w:sz="0" w:space="0" w:color="auto"/>
        <w:left w:val="none" w:sz="0" w:space="0" w:color="auto"/>
        <w:bottom w:val="none" w:sz="0" w:space="0" w:color="auto"/>
        <w:right w:val="none" w:sz="0" w:space="0" w:color="auto"/>
      </w:divBdr>
    </w:div>
    <w:div w:id="933050274">
      <w:bodyDiv w:val="1"/>
      <w:marLeft w:val="0"/>
      <w:marRight w:val="0"/>
      <w:marTop w:val="0"/>
      <w:marBottom w:val="0"/>
      <w:divBdr>
        <w:top w:val="none" w:sz="0" w:space="0" w:color="auto"/>
        <w:left w:val="none" w:sz="0" w:space="0" w:color="auto"/>
        <w:bottom w:val="none" w:sz="0" w:space="0" w:color="auto"/>
        <w:right w:val="none" w:sz="0" w:space="0" w:color="auto"/>
      </w:divBdr>
    </w:div>
    <w:div w:id="941568775">
      <w:bodyDiv w:val="1"/>
      <w:marLeft w:val="0"/>
      <w:marRight w:val="0"/>
      <w:marTop w:val="0"/>
      <w:marBottom w:val="0"/>
      <w:divBdr>
        <w:top w:val="none" w:sz="0" w:space="0" w:color="auto"/>
        <w:left w:val="none" w:sz="0" w:space="0" w:color="auto"/>
        <w:bottom w:val="none" w:sz="0" w:space="0" w:color="auto"/>
        <w:right w:val="none" w:sz="0" w:space="0" w:color="auto"/>
      </w:divBdr>
    </w:div>
    <w:div w:id="942028633">
      <w:bodyDiv w:val="1"/>
      <w:marLeft w:val="0"/>
      <w:marRight w:val="0"/>
      <w:marTop w:val="0"/>
      <w:marBottom w:val="0"/>
      <w:divBdr>
        <w:top w:val="none" w:sz="0" w:space="0" w:color="auto"/>
        <w:left w:val="none" w:sz="0" w:space="0" w:color="auto"/>
        <w:bottom w:val="none" w:sz="0" w:space="0" w:color="auto"/>
        <w:right w:val="none" w:sz="0" w:space="0" w:color="auto"/>
      </w:divBdr>
    </w:div>
    <w:div w:id="954797330">
      <w:bodyDiv w:val="1"/>
      <w:marLeft w:val="0"/>
      <w:marRight w:val="0"/>
      <w:marTop w:val="0"/>
      <w:marBottom w:val="0"/>
      <w:divBdr>
        <w:top w:val="none" w:sz="0" w:space="0" w:color="auto"/>
        <w:left w:val="none" w:sz="0" w:space="0" w:color="auto"/>
        <w:bottom w:val="none" w:sz="0" w:space="0" w:color="auto"/>
        <w:right w:val="none" w:sz="0" w:space="0" w:color="auto"/>
      </w:divBdr>
    </w:div>
    <w:div w:id="967204735">
      <w:bodyDiv w:val="1"/>
      <w:marLeft w:val="0"/>
      <w:marRight w:val="0"/>
      <w:marTop w:val="0"/>
      <w:marBottom w:val="0"/>
      <w:divBdr>
        <w:top w:val="none" w:sz="0" w:space="0" w:color="auto"/>
        <w:left w:val="none" w:sz="0" w:space="0" w:color="auto"/>
        <w:bottom w:val="none" w:sz="0" w:space="0" w:color="auto"/>
        <w:right w:val="none" w:sz="0" w:space="0" w:color="auto"/>
      </w:divBdr>
    </w:div>
    <w:div w:id="992177457">
      <w:bodyDiv w:val="1"/>
      <w:marLeft w:val="0"/>
      <w:marRight w:val="0"/>
      <w:marTop w:val="0"/>
      <w:marBottom w:val="0"/>
      <w:divBdr>
        <w:top w:val="none" w:sz="0" w:space="0" w:color="auto"/>
        <w:left w:val="none" w:sz="0" w:space="0" w:color="auto"/>
        <w:bottom w:val="none" w:sz="0" w:space="0" w:color="auto"/>
        <w:right w:val="none" w:sz="0" w:space="0" w:color="auto"/>
      </w:divBdr>
    </w:div>
    <w:div w:id="1007757712">
      <w:bodyDiv w:val="1"/>
      <w:marLeft w:val="0"/>
      <w:marRight w:val="0"/>
      <w:marTop w:val="0"/>
      <w:marBottom w:val="0"/>
      <w:divBdr>
        <w:top w:val="none" w:sz="0" w:space="0" w:color="auto"/>
        <w:left w:val="none" w:sz="0" w:space="0" w:color="auto"/>
        <w:bottom w:val="none" w:sz="0" w:space="0" w:color="auto"/>
        <w:right w:val="none" w:sz="0" w:space="0" w:color="auto"/>
      </w:divBdr>
    </w:div>
    <w:div w:id="1016663159">
      <w:bodyDiv w:val="1"/>
      <w:marLeft w:val="0"/>
      <w:marRight w:val="0"/>
      <w:marTop w:val="0"/>
      <w:marBottom w:val="0"/>
      <w:divBdr>
        <w:top w:val="none" w:sz="0" w:space="0" w:color="auto"/>
        <w:left w:val="none" w:sz="0" w:space="0" w:color="auto"/>
        <w:bottom w:val="none" w:sz="0" w:space="0" w:color="auto"/>
        <w:right w:val="none" w:sz="0" w:space="0" w:color="auto"/>
      </w:divBdr>
    </w:div>
    <w:div w:id="1043289733">
      <w:bodyDiv w:val="1"/>
      <w:marLeft w:val="0"/>
      <w:marRight w:val="0"/>
      <w:marTop w:val="0"/>
      <w:marBottom w:val="0"/>
      <w:divBdr>
        <w:top w:val="none" w:sz="0" w:space="0" w:color="auto"/>
        <w:left w:val="none" w:sz="0" w:space="0" w:color="auto"/>
        <w:bottom w:val="none" w:sz="0" w:space="0" w:color="auto"/>
        <w:right w:val="none" w:sz="0" w:space="0" w:color="auto"/>
      </w:divBdr>
    </w:div>
    <w:div w:id="1087993048">
      <w:bodyDiv w:val="1"/>
      <w:marLeft w:val="0"/>
      <w:marRight w:val="0"/>
      <w:marTop w:val="0"/>
      <w:marBottom w:val="0"/>
      <w:divBdr>
        <w:top w:val="none" w:sz="0" w:space="0" w:color="auto"/>
        <w:left w:val="none" w:sz="0" w:space="0" w:color="auto"/>
        <w:bottom w:val="none" w:sz="0" w:space="0" w:color="auto"/>
        <w:right w:val="none" w:sz="0" w:space="0" w:color="auto"/>
      </w:divBdr>
    </w:div>
    <w:div w:id="1115516092">
      <w:bodyDiv w:val="1"/>
      <w:marLeft w:val="0"/>
      <w:marRight w:val="0"/>
      <w:marTop w:val="0"/>
      <w:marBottom w:val="0"/>
      <w:divBdr>
        <w:top w:val="none" w:sz="0" w:space="0" w:color="auto"/>
        <w:left w:val="none" w:sz="0" w:space="0" w:color="auto"/>
        <w:bottom w:val="none" w:sz="0" w:space="0" w:color="auto"/>
        <w:right w:val="none" w:sz="0" w:space="0" w:color="auto"/>
      </w:divBdr>
    </w:div>
    <w:div w:id="1139767960">
      <w:bodyDiv w:val="1"/>
      <w:marLeft w:val="0"/>
      <w:marRight w:val="0"/>
      <w:marTop w:val="0"/>
      <w:marBottom w:val="0"/>
      <w:divBdr>
        <w:top w:val="none" w:sz="0" w:space="0" w:color="auto"/>
        <w:left w:val="none" w:sz="0" w:space="0" w:color="auto"/>
        <w:bottom w:val="none" w:sz="0" w:space="0" w:color="auto"/>
        <w:right w:val="none" w:sz="0" w:space="0" w:color="auto"/>
      </w:divBdr>
    </w:div>
    <w:div w:id="1167087054">
      <w:bodyDiv w:val="1"/>
      <w:marLeft w:val="0"/>
      <w:marRight w:val="0"/>
      <w:marTop w:val="0"/>
      <w:marBottom w:val="0"/>
      <w:divBdr>
        <w:top w:val="none" w:sz="0" w:space="0" w:color="auto"/>
        <w:left w:val="none" w:sz="0" w:space="0" w:color="auto"/>
        <w:bottom w:val="none" w:sz="0" w:space="0" w:color="auto"/>
        <w:right w:val="none" w:sz="0" w:space="0" w:color="auto"/>
      </w:divBdr>
    </w:div>
    <w:div w:id="1179078535">
      <w:bodyDiv w:val="1"/>
      <w:marLeft w:val="0"/>
      <w:marRight w:val="0"/>
      <w:marTop w:val="0"/>
      <w:marBottom w:val="0"/>
      <w:divBdr>
        <w:top w:val="none" w:sz="0" w:space="0" w:color="auto"/>
        <w:left w:val="none" w:sz="0" w:space="0" w:color="auto"/>
        <w:bottom w:val="none" w:sz="0" w:space="0" w:color="auto"/>
        <w:right w:val="none" w:sz="0" w:space="0" w:color="auto"/>
      </w:divBdr>
    </w:div>
    <w:div w:id="1184858055">
      <w:bodyDiv w:val="1"/>
      <w:marLeft w:val="0"/>
      <w:marRight w:val="0"/>
      <w:marTop w:val="0"/>
      <w:marBottom w:val="0"/>
      <w:divBdr>
        <w:top w:val="none" w:sz="0" w:space="0" w:color="auto"/>
        <w:left w:val="none" w:sz="0" w:space="0" w:color="auto"/>
        <w:bottom w:val="none" w:sz="0" w:space="0" w:color="auto"/>
        <w:right w:val="none" w:sz="0" w:space="0" w:color="auto"/>
      </w:divBdr>
    </w:div>
    <w:div w:id="1206715233">
      <w:bodyDiv w:val="1"/>
      <w:marLeft w:val="0"/>
      <w:marRight w:val="0"/>
      <w:marTop w:val="0"/>
      <w:marBottom w:val="0"/>
      <w:divBdr>
        <w:top w:val="none" w:sz="0" w:space="0" w:color="auto"/>
        <w:left w:val="none" w:sz="0" w:space="0" w:color="auto"/>
        <w:bottom w:val="none" w:sz="0" w:space="0" w:color="auto"/>
        <w:right w:val="none" w:sz="0" w:space="0" w:color="auto"/>
      </w:divBdr>
    </w:div>
    <w:div w:id="1209100602">
      <w:bodyDiv w:val="1"/>
      <w:marLeft w:val="0"/>
      <w:marRight w:val="0"/>
      <w:marTop w:val="0"/>
      <w:marBottom w:val="0"/>
      <w:divBdr>
        <w:top w:val="none" w:sz="0" w:space="0" w:color="auto"/>
        <w:left w:val="none" w:sz="0" w:space="0" w:color="auto"/>
        <w:bottom w:val="none" w:sz="0" w:space="0" w:color="auto"/>
        <w:right w:val="none" w:sz="0" w:space="0" w:color="auto"/>
      </w:divBdr>
    </w:div>
    <w:div w:id="1314679140">
      <w:bodyDiv w:val="1"/>
      <w:marLeft w:val="0"/>
      <w:marRight w:val="0"/>
      <w:marTop w:val="0"/>
      <w:marBottom w:val="0"/>
      <w:divBdr>
        <w:top w:val="none" w:sz="0" w:space="0" w:color="auto"/>
        <w:left w:val="none" w:sz="0" w:space="0" w:color="auto"/>
        <w:bottom w:val="none" w:sz="0" w:space="0" w:color="auto"/>
        <w:right w:val="none" w:sz="0" w:space="0" w:color="auto"/>
      </w:divBdr>
    </w:div>
    <w:div w:id="1319571635">
      <w:bodyDiv w:val="1"/>
      <w:marLeft w:val="0"/>
      <w:marRight w:val="0"/>
      <w:marTop w:val="0"/>
      <w:marBottom w:val="0"/>
      <w:divBdr>
        <w:top w:val="none" w:sz="0" w:space="0" w:color="auto"/>
        <w:left w:val="none" w:sz="0" w:space="0" w:color="auto"/>
        <w:bottom w:val="none" w:sz="0" w:space="0" w:color="auto"/>
        <w:right w:val="none" w:sz="0" w:space="0" w:color="auto"/>
      </w:divBdr>
    </w:div>
    <w:div w:id="1321541351">
      <w:bodyDiv w:val="1"/>
      <w:marLeft w:val="0"/>
      <w:marRight w:val="0"/>
      <w:marTop w:val="0"/>
      <w:marBottom w:val="0"/>
      <w:divBdr>
        <w:top w:val="none" w:sz="0" w:space="0" w:color="auto"/>
        <w:left w:val="none" w:sz="0" w:space="0" w:color="auto"/>
        <w:bottom w:val="none" w:sz="0" w:space="0" w:color="auto"/>
        <w:right w:val="none" w:sz="0" w:space="0" w:color="auto"/>
      </w:divBdr>
    </w:div>
    <w:div w:id="1329821732">
      <w:bodyDiv w:val="1"/>
      <w:marLeft w:val="0"/>
      <w:marRight w:val="0"/>
      <w:marTop w:val="0"/>
      <w:marBottom w:val="0"/>
      <w:divBdr>
        <w:top w:val="none" w:sz="0" w:space="0" w:color="auto"/>
        <w:left w:val="none" w:sz="0" w:space="0" w:color="auto"/>
        <w:bottom w:val="none" w:sz="0" w:space="0" w:color="auto"/>
        <w:right w:val="none" w:sz="0" w:space="0" w:color="auto"/>
      </w:divBdr>
    </w:div>
    <w:div w:id="1436051953">
      <w:bodyDiv w:val="1"/>
      <w:marLeft w:val="0"/>
      <w:marRight w:val="0"/>
      <w:marTop w:val="0"/>
      <w:marBottom w:val="0"/>
      <w:divBdr>
        <w:top w:val="none" w:sz="0" w:space="0" w:color="auto"/>
        <w:left w:val="none" w:sz="0" w:space="0" w:color="auto"/>
        <w:bottom w:val="none" w:sz="0" w:space="0" w:color="auto"/>
        <w:right w:val="none" w:sz="0" w:space="0" w:color="auto"/>
      </w:divBdr>
    </w:div>
    <w:div w:id="1472555498">
      <w:bodyDiv w:val="1"/>
      <w:marLeft w:val="0"/>
      <w:marRight w:val="0"/>
      <w:marTop w:val="0"/>
      <w:marBottom w:val="0"/>
      <w:divBdr>
        <w:top w:val="none" w:sz="0" w:space="0" w:color="auto"/>
        <w:left w:val="none" w:sz="0" w:space="0" w:color="auto"/>
        <w:bottom w:val="none" w:sz="0" w:space="0" w:color="auto"/>
        <w:right w:val="none" w:sz="0" w:space="0" w:color="auto"/>
      </w:divBdr>
    </w:div>
    <w:div w:id="1483426436">
      <w:bodyDiv w:val="1"/>
      <w:marLeft w:val="0"/>
      <w:marRight w:val="0"/>
      <w:marTop w:val="0"/>
      <w:marBottom w:val="0"/>
      <w:divBdr>
        <w:top w:val="none" w:sz="0" w:space="0" w:color="auto"/>
        <w:left w:val="none" w:sz="0" w:space="0" w:color="auto"/>
        <w:bottom w:val="none" w:sz="0" w:space="0" w:color="auto"/>
        <w:right w:val="none" w:sz="0" w:space="0" w:color="auto"/>
      </w:divBdr>
    </w:div>
    <w:div w:id="1520466916">
      <w:bodyDiv w:val="1"/>
      <w:marLeft w:val="0"/>
      <w:marRight w:val="0"/>
      <w:marTop w:val="0"/>
      <w:marBottom w:val="0"/>
      <w:divBdr>
        <w:top w:val="none" w:sz="0" w:space="0" w:color="auto"/>
        <w:left w:val="none" w:sz="0" w:space="0" w:color="auto"/>
        <w:bottom w:val="none" w:sz="0" w:space="0" w:color="auto"/>
        <w:right w:val="none" w:sz="0" w:space="0" w:color="auto"/>
      </w:divBdr>
    </w:div>
    <w:div w:id="1540557022">
      <w:bodyDiv w:val="1"/>
      <w:marLeft w:val="0"/>
      <w:marRight w:val="0"/>
      <w:marTop w:val="0"/>
      <w:marBottom w:val="0"/>
      <w:divBdr>
        <w:top w:val="none" w:sz="0" w:space="0" w:color="auto"/>
        <w:left w:val="none" w:sz="0" w:space="0" w:color="auto"/>
        <w:bottom w:val="none" w:sz="0" w:space="0" w:color="auto"/>
        <w:right w:val="none" w:sz="0" w:space="0" w:color="auto"/>
      </w:divBdr>
    </w:div>
    <w:div w:id="1552157525">
      <w:bodyDiv w:val="1"/>
      <w:marLeft w:val="0"/>
      <w:marRight w:val="0"/>
      <w:marTop w:val="0"/>
      <w:marBottom w:val="0"/>
      <w:divBdr>
        <w:top w:val="none" w:sz="0" w:space="0" w:color="auto"/>
        <w:left w:val="none" w:sz="0" w:space="0" w:color="auto"/>
        <w:bottom w:val="none" w:sz="0" w:space="0" w:color="auto"/>
        <w:right w:val="none" w:sz="0" w:space="0" w:color="auto"/>
      </w:divBdr>
    </w:div>
    <w:div w:id="1563322555">
      <w:bodyDiv w:val="1"/>
      <w:marLeft w:val="0"/>
      <w:marRight w:val="0"/>
      <w:marTop w:val="0"/>
      <w:marBottom w:val="0"/>
      <w:divBdr>
        <w:top w:val="none" w:sz="0" w:space="0" w:color="auto"/>
        <w:left w:val="none" w:sz="0" w:space="0" w:color="auto"/>
        <w:bottom w:val="none" w:sz="0" w:space="0" w:color="auto"/>
        <w:right w:val="none" w:sz="0" w:space="0" w:color="auto"/>
      </w:divBdr>
    </w:div>
    <w:div w:id="1603683775">
      <w:bodyDiv w:val="1"/>
      <w:marLeft w:val="0"/>
      <w:marRight w:val="0"/>
      <w:marTop w:val="0"/>
      <w:marBottom w:val="0"/>
      <w:divBdr>
        <w:top w:val="none" w:sz="0" w:space="0" w:color="auto"/>
        <w:left w:val="none" w:sz="0" w:space="0" w:color="auto"/>
        <w:bottom w:val="none" w:sz="0" w:space="0" w:color="auto"/>
        <w:right w:val="none" w:sz="0" w:space="0" w:color="auto"/>
      </w:divBdr>
      <w:divsChild>
        <w:div w:id="263806822">
          <w:marLeft w:val="0"/>
          <w:marRight w:val="0"/>
          <w:marTop w:val="0"/>
          <w:marBottom w:val="0"/>
          <w:divBdr>
            <w:top w:val="none" w:sz="0" w:space="0" w:color="auto"/>
            <w:left w:val="none" w:sz="0" w:space="0" w:color="auto"/>
            <w:bottom w:val="none" w:sz="0" w:space="0" w:color="auto"/>
            <w:right w:val="none" w:sz="0" w:space="0" w:color="auto"/>
          </w:divBdr>
          <w:divsChild>
            <w:div w:id="1858275079">
              <w:marLeft w:val="0"/>
              <w:marRight w:val="0"/>
              <w:marTop w:val="0"/>
              <w:marBottom w:val="0"/>
              <w:divBdr>
                <w:top w:val="none" w:sz="0" w:space="0" w:color="auto"/>
                <w:left w:val="none" w:sz="0" w:space="0" w:color="auto"/>
                <w:bottom w:val="none" w:sz="0" w:space="0" w:color="auto"/>
                <w:right w:val="none" w:sz="0" w:space="0" w:color="auto"/>
              </w:divBdr>
            </w:div>
            <w:div w:id="1974826298">
              <w:marLeft w:val="0"/>
              <w:marRight w:val="0"/>
              <w:marTop w:val="0"/>
              <w:marBottom w:val="0"/>
              <w:divBdr>
                <w:top w:val="none" w:sz="0" w:space="0" w:color="auto"/>
                <w:left w:val="none" w:sz="0" w:space="0" w:color="auto"/>
                <w:bottom w:val="none" w:sz="0" w:space="0" w:color="auto"/>
                <w:right w:val="none" w:sz="0" w:space="0" w:color="auto"/>
              </w:divBdr>
            </w:div>
          </w:divsChild>
        </w:div>
        <w:div w:id="559906281">
          <w:marLeft w:val="0"/>
          <w:marRight w:val="0"/>
          <w:marTop w:val="0"/>
          <w:marBottom w:val="0"/>
          <w:divBdr>
            <w:top w:val="none" w:sz="0" w:space="0" w:color="auto"/>
            <w:left w:val="none" w:sz="0" w:space="0" w:color="auto"/>
            <w:bottom w:val="none" w:sz="0" w:space="0" w:color="auto"/>
            <w:right w:val="none" w:sz="0" w:space="0" w:color="auto"/>
          </w:divBdr>
          <w:divsChild>
            <w:div w:id="36247537">
              <w:marLeft w:val="0"/>
              <w:marRight w:val="0"/>
              <w:marTop w:val="0"/>
              <w:marBottom w:val="0"/>
              <w:divBdr>
                <w:top w:val="none" w:sz="0" w:space="0" w:color="auto"/>
                <w:left w:val="none" w:sz="0" w:space="0" w:color="auto"/>
                <w:bottom w:val="none" w:sz="0" w:space="0" w:color="auto"/>
                <w:right w:val="none" w:sz="0" w:space="0" w:color="auto"/>
              </w:divBdr>
            </w:div>
            <w:div w:id="1448740011">
              <w:marLeft w:val="0"/>
              <w:marRight w:val="0"/>
              <w:marTop w:val="0"/>
              <w:marBottom w:val="0"/>
              <w:divBdr>
                <w:top w:val="none" w:sz="0" w:space="0" w:color="auto"/>
                <w:left w:val="none" w:sz="0" w:space="0" w:color="auto"/>
                <w:bottom w:val="none" w:sz="0" w:space="0" w:color="auto"/>
                <w:right w:val="none" w:sz="0" w:space="0" w:color="auto"/>
              </w:divBdr>
            </w:div>
          </w:divsChild>
        </w:div>
        <w:div w:id="875046389">
          <w:marLeft w:val="0"/>
          <w:marRight w:val="0"/>
          <w:marTop w:val="0"/>
          <w:marBottom w:val="0"/>
          <w:divBdr>
            <w:top w:val="none" w:sz="0" w:space="0" w:color="auto"/>
            <w:left w:val="none" w:sz="0" w:space="0" w:color="auto"/>
            <w:bottom w:val="none" w:sz="0" w:space="0" w:color="auto"/>
            <w:right w:val="none" w:sz="0" w:space="0" w:color="auto"/>
          </w:divBdr>
          <w:divsChild>
            <w:div w:id="32076917">
              <w:marLeft w:val="0"/>
              <w:marRight w:val="0"/>
              <w:marTop w:val="0"/>
              <w:marBottom w:val="0"/>
              <w:divBdr>
                <w:top w:val="none" w:sz="0" w:space="0" w:color="auto"/>
                <w:left w:val="none" w:sz="0" w:space="0" w:color="auto"/>
                <w:bottom w:val="none" w:sz="0" w:space="0" w:color="auto"/>
                <w:right w:val="none" w:sz="0" w:space="0" w:color="auto"/>
              </w:divBdr>
            </w:div>
            <w:div w:id="717315046">
              <w:marLeft w:val="0"/>
              <w:marRight w:val="0"/>
              <w:marTop w:val="0"/>
              <w:marBottom w:val="0"/>
              <w:divBdr>
                <w:top w:val="none" w:sz="0" w:space="0" w:color="auto"/>
                <w:left w:val="none" w:sz="0" w:space="0" w:color="auto"/>
                <w:bottom w:val="none" w:sz="0" w:space="0" w:color="auto"/>
                <w:right w:val="none" w:sz="0" w:space="0" w:color="auto"/>
              </w:divBdr>
            </w:div>
            <w:div w:id="1050106364">
              <w:marLeft w:val="0"/>
              <w:marRight w:val="0"/>
              <w:marTop w:val="0"/>
              <w:marBottom w:val="0"/>
              <w:divBdr>
                <w:top w:val="none" w:sz="0" w:space="0" w:color="auto"/>
                <w:left w:val="none" w:sz="0" w:space="0" w:color="auto"/>
                <w:bottom w:val="none" w:sz="0" w:space="0" w:color="auto"/>
                <w:right w:val="none" w:sz="0" w:space="0" w:color="auto"/>
              </w:divBdr>
            </w:div>
            <w:div w:id="1723164693">
              <w:marLeft w:val="0"/>
              <w:marRight w:val="0"/>
              <w:marTop w:val="0"/>
              <w:marBottom w:val="0"/>
              <w:divBdr>
                <w:top w:val="none" w:sz="0" w:space="0" w:color="auto"/>
                <w:left w:val="none" w:sz="0" w:space="0" w:color="auto"/>
                <w:bottom w:val="none" w:sz="0" w:space="0" w:color="auto"/>
                <w:right w:val="none" w:sz="0" w:space="0" w:color="auto"/>
              </w:divBdr>
            </w:div>
          </w:divsChild>
        </w:div>
        <w:div w:id="1151098116">
          <w:marLeft w:val="0"/>
          <w:marRight w:val="0"/>
          <w:marTop w:val="0"/>
          <w:marBottom w:val="0"/>
          <w:divBdr>
            <w:top w:val="none" w:sz="0" w:space="0" w:color="auto"/>
            <w:left w:val="none" w:sz="0" w:space="0" w:color="auto"/>
            <w:bottom w:val="none" w:sz="0" w:space="0" w:color="auto"/>
            <w:right w:val="none" w:sz="0" w:space="0" w:color="auto"/>
          </w:divBdr>
          <w:divsChild>
            <w:div w:id="285891000">
              <w:marLeft w:val="0"/>
              <w:marRight w:val="0"/>
              <w:marTop w:val="0"/>
              <w:marBottom w:val="0"/>
              <w:divBdr>
                <w:top w:val="none" w:sz="0" w:space="0" w:color="auto"/>
                <w:left w:val="none" w:sz="0" w:space="0" w:color="auto"/>
                <w:bottom w:val="none" w:sz="0" w:space="0" w:color="auto"/>
                <w:right w:val="none" w:sz="0" w:space="0" w:color="auto"/>
              </w:divBdr>
            </w:div>
            <w:div w:id="347409209">
              <w:marLeft w:val="0"/>
              <w:marRight w:val="0"/>
              <w:marTop w:val="0"/>
              <w:marBottom w:val="0"/>
              <w:divBdr>
                <w:top w:val="none" w:sz="0" w:space="0" w:color="auto"/>
                <w:left w:val="none" w:sz="0" w:space="0" w:color="auto"/>
                <w:bottom w:val="none" w:sz="0" w:space="0" w:color="auto"/>
                <w:right w:val="none" w:sz="0" w:space="0" w:color="auto"/>
              </w:divBdr>
            </w:div>
            <w:div w:id="615255780">
              <w:marLeft w:val="0"/>
              <w:marRight w:val="0"/>
              <w:marTop w:val="0"/>
              <w:marBottom w:val="0"/>
              <w:divBdr>
                <w:top w:val="none" w:sz="0" w:space="0" w:color="auto"/>
                <w:left w:val="none" w:sz="0" w:space="0" w:color="auto"/>
                <w:bottom w:val="none" w:sz="0" w:space="0" w:color="auto"/>
                <w:right w:val="none" w:sz="0" w:space="0" w:color="auto"/>
              </w:divBdr>
            </w:div>
            <w:div w:id="770050548">
              <w:marLeft w:val="0"/>
              <w:marRight w:val="0"/>
              <w:marTop w:val="0"/>
              <w:marBottom w:val="0"/>
              <w:divBdr>
                <w:top w:val="none" w:sz="0" w:space="0" w:color="auto"/>
                <w:left w:val="none" w:sz="0" w:space="0" w:color="auto"/>
                <w:bottom w:val="none" w:sz="0" w:space="0" w:color="auto"/>
                <w:right w:val="none" w:sz="0" w:space="0" w:color="auto"/>
              </w:divBdr>
            </w:div>
            <w:div w:id="1591425890">
              <w:marLeft w:val="0"/>
              <w:marRight w:val="0"/>
              <w:marTop w:val="0"/>
              <w:marBottom w:val="0"/>
              <w:divBdr>
                <w:top w:val="none" w:sz="0" w:space="0" w:color="auto"/>
                <w:left w:val="none" w:sz="0" w:space="0" w:color="auto"/>
                <w:bottom w:val="none" w:sz="0" w:space="0" w:color="auto"/>
                <w:right w:val="none" w:sz="0" w:space="0" w:color="auto"/>
              </w:divBdr>
            </w:div>
          </w:divsChild>
        </w:div>
        <w:div w:id="1191914131">
          <w:marLeft w:val="0"/>
          <w:marRight w:val="0"/>
          <w:marTop w:val="0"/>
          <w:marBottom w:val="0"/>
          <w:divBdr>
            <w:top w:val="none" w:sz="0" w:space="0" w:color="auto"/>
            <w:left w:val="none" w:sz="0" w:space="0" w:color="auto"/>
            <w:bottom w:val="none" w:sz="0" w:space="0" w:color="auto"/>
            <w:right w:val="none" w:sz="0" w:space="0" w:color="auto"/>
          </w:divBdr>
        </w:div>
        <w:div w:id="1404911631">
          <w:marLeft w:val="0"/>
          <w:marRight w:val="0"/>
          <w:marTop w:val="0"/>
          <w:marBottom w:val="0"/>
          <w:divBdr>
            <w:top w:val="none" w:sz="0" w:space="0" w:color="auto"/>
            <w:left w:val="none" w:sz="0" w:space="0" w:color="auto"/>
            <w:bottom w:val="none" w:sz="0" w:space="0" w:color="auto"/>
            <w:right w:val="none" w:sz="0" w:space="0" w:color="auto"/>
          </w:divBdr>
          <w:divsChild>
            <w:div w:id="370498358">
              <w:marLeft w:val="0"/>
              <w:marRight w:val="0"/>
              <w:marTop w:val="0"/>
              <w:marBottom w:val="0"/>
              <w:divBdr>
                <w:top w:val="none" w:sz="0" w:space="0" w:color="auto"/>
                <w:left w:val="none" w:sz="0" w:space="0" w:color="auto"/>
                <w:bottom w:val="none" w:sz="0" w:space="0" w:color="auto"/>
                <w:right w:val="none" w:sz="0" w:space="0" w:color="auto"/>
              </w:divBdr>
            </w:div>
            <w:div w:id="641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8475">
      <w:bodyDiv w:val="1"/>
      <w:marLeft w:val="0"/>
      <w:marRight w:val="0"/>
      <w:marTop w:val="0"/>
      <w:marBottom w:val="0"/>
      <w:divBdr>
        <w:top w:val="none" w:sz="0" w:space="0" w:color="auto"/>
        <w:left w:val="none" w:sz="0" w:space="0" w:color="auto"/>
        <w:bottom w:val="none" w:sz="0" w:space="0" w:color="auto"/>
        <w:right w:val="none" w:sz="0" w:space="0" w:color="auto"/>
      </w:divBdr>
    </w:div>
    <w:div w:id="1610547356">
      <w:bodyDiv w:val="1"/>
      <w:marLeft w:val="0"/>
      <w:marRight w:val="0"/>
      <w:marTop w:val="0"/>
      <w:marBottom w:val="0"/>
      <w:divBdr>
        <w:top w:val="none" w:sz="0" w:space="0" w:color="auto"/>
        <w:left w:val="none" w:sz="0" w:space="0" w:color="auto"/>
        <w:bottom w:val="none" w:sz="0" w:space="0" w:color="auto"/>
        <w:right w:val="none" w:sz="0" w:space="0" w:color="auto"/>
      </w:divBdr>
    </w:div>
    <w:div w:id="1648319313">
      <w:bodyDiv w:val="1"/>
      <w:marLeft w:val="0"/>
      <w:marRight w:val="0"/>
      <w:marTop w:val="0"/>
      <w:marBottom w:val="0"/>
      <w:divBdr>
        <w:top w:val="none" w:sz="0" w:space="0" w:color="auto"/>
        <w:left w:val="none" w:sz="0" w:space="0" w:color="auto"/>
        <w:bottom w:val="none" w:sz="0" w:space="0" w:color="auto"/>
        <w:right w:val="none" w:sz="0" w:space="0" w:color="auto"/>
      </w:divBdr>
    </w:div>
    <w:div w:id="1692758420">
      <w:bodyDiv w:val="1"/>
      <w:marLeft w:val="0"/>
      <w:marRight w:val="0"/>
      <w:marTop w:val="0"/>
      <w:marBottom w:val="0"/>
      <w:divBdr>
        <w:top w:val="none" w:sz="0" w:space="0" w:color="auto"/>
        <w:left w:val="none" w:sz="0" w:space="0" w:color="auto"/>
        <w:bottom w:val="none" w:sz="0" w:space="0" w:color="auto"/>
        <w:right w:val="none" w:sz="0" w:space="0" w:color="auto"/>
      </w:divBdr>
    </w:div>
    <w:div w:id="1824543501">
      <w:bodyDiv w:val="1"/>
      <w:marLeft w:val="0"/>
      <w:marRight w:val="0"/>
      <w:marTop w:val="0"/>
      <w:marBottom w:val="0"/>
      <w:divBdr>
        <w:top w:val="none" w:sz="0" w:space="0" w:color="auto"/>
        <w:left w:val="none" w:sz="0" w:space="0" w:color="auto"/>
        <w:bottom w:val="none" w:sz="0" w:space="0" w:color="auto"/>
        <w:right w:val="none" w:sz="0" w:space="0" w:color="auto"/>
      </w:divBdr>
    </w:div>
    <w:div w:id="1828939786">
      <w:bodyDiv w:val="1"/>
      <w:marLeft w:val="0"/>
      <w:marRight w:val="0"/>
      <w:marTop w:val="0"/>
      <w:marBottom w:val="0"/>
      <w:divBdr>
        <w:top w:val="none" w:sz="0" w:space="0" w:color="auto"/>
        <w:left w:val="none" w:sz="0" w:space="0" w:color="auto"/>
        <w:bottom w:val="none" w:sz="0" w:space="0" w:color="auto"/>
        <w:right w:val="none" w:sz="0" w:space="0" w:color="auto"/>
      </w:divBdr>
    </w:div>
    <w:div w:id="1842815684">
      <w:bodyDiv w:val="1"/>
      <w:marLeft w:val="0"/>
      <w:marRight w:val="0"/>
      <w:marTop w:val="0"/>
      <w:marBottom w:val="0"/>
      <w:divBdr>
        <w:top w:val="none" w:sz="0" w:space="0" w:color="auto"/>
        <w:left w:val="none" w:sz="0" w:space="0" w:color="auto"/>
        <w:bottom w:val="none" w:sz="0" w:space="0" w:color="auto"/>
        <w:right w:val="none" w:sz="0" w:space="0" w:color="auto"/>
      </w:divBdr>
    </w:div>
    <w:div w:id="1843735070">
      <w:bodyDiv w:val="1"/>
      <w:marLeft w:val="0"/>
      <w:marRight w:val="0"/>
      <w:marTop w:val="0"/>
      <w:marBottom w:val="0"/>
      <w:divBdr>
        <w:top w:val="none" w:sz="0" w:space="0" w:color="auto"/>
        <w:left w:val="none" w:sz="0" w:space="0" w:color="auto"/>
        <w:bottom w:val="none" w:sz="0" w:space="0" w:color="auto"/>
        <w:right w:val="none" w:sz="0" w:space="0" w:color="auto"/>
      </w:divBdr>
    </w:div>
    <w:div w:id="1864905231">
      <w:bodyDiv w:val="1"/>
      <w:marLeft w:val="0"/>
      <w:marRight w:val="0"/>
      <w:marTop w:val="0"/>
      <w:marBottom w:val="0"/>
      <w:divBdr>
        <w:top w:val="none" w:sz="0" w:space="0" w:color="auto"/>
        <w:left w:val="none" w:sz="0" w:space="0" w:color="auto"/>
        <w:bottom w:val="none" w:sz="0" w:space="0" w:color="auto"/>
        <w:right w:val="none" w:sz="0" w:space="0" w:color="auto"/>
      </w:divBdr>
    </w:div>
    <w:div w:id="1891308200">
      <w:bodyDiv w:val="1"/>
      <w:marLeft w:val="0"/>
      <w:marRight w:val="0"/>
      <w:marTop w:val="0"/>
      <w:marBottom w:val="0"/>
      <w:divBdr>
        <w:top w:val="none" w:sz="0" w:space="0" w:color="auto"/>
        <w:left w:val="none" w:sz="0" w:space="0" w:color="auto"/>
        <w:bottom w:val="none" w:sz="0" w:space="0" w:color="auto"/>
        <w:right w:val="none" w:sz="0" w:space="0" w:color="auto"/>
      </w:divBdr>
    </w:div>
    <w:div w:id="1947038015">
      <w:bodyDiv w:val="1"/>
      <w:marLeft w:val="0"/>
      <w:marRight w:val="0"/>
      <w:marTop w:val="0"/>
      <w:marBottom w:val="0"/>
      <w:divBdr>
        <w:top w:val="none" w:sz="0" w:space="0" w:color="auto"/>
        <w:left w:val="none" w:sz="0" w:space="0" w:color="auto"/>
        <w:bottom w:val="none" w:sz="0" w:space="0" w:color="auto"/>
        <w:right w:val="none" w:sz="0" w:space="0" w:color="auto"/>
      </w:divBdr>
    </w:div>
    <w:div w:id="1980450974">
      <w:bodyDiv w:val="1"/>
      <w:marLeft w:val="0"/>
      <w:marRight w:val="0"/>
      <w:marTop w:val="0"/>
      <w:marBottom w:val="0"/>
      <w:divBdr>
        <w:top w:val="none" w:sz="0" w:space="0" w:color="auto"/>
        <w:left w:val="none" w:sz="0" w:space="0" w:color="auto"/>
        <w:bottom w:val="none" w:sz="0" w:space="0" w:color="auto"/>
        <w:right w:val="none" w:sz="0" w:space="0" w:color="auto"/>
      </w:divBdr>
    </w:div>
    <w:div w:id="2022854592">
      <w:bodyDiv w:val="1"/>
      <w:marLeft w:val="0"/>
      <w:marRight w:val="0"/>
      <w:marTop w:val="0"/>
      <w:marBottom w:val="0"/>
      <w:divBdr>
        <w:top w:val="none" w:sz="0" w:space="0" w:color="auto"/>
        <w:left w:val="none" w:sz="0" w:space="0" w:color="auto"/>
        <w:bottom w:val="none" w:sz="0" w:space="0" w:color="auto"/>
        <w:right w:val="none" w:sz="0" w:space="0" w:color="auto"/>
      </w:divBdr>
    </w:div>
    <w:div w:id="2029406261">
      <w:bodyDiv w:val="1"/>
      <w:marLeft w:val="0"/>
      <w:marRight w:val="0"/>
      <w:marTop w:val="0"/>
      <w:marBottom w:val="0"/>
      <w:divBdr>
        <w:top w:val="none" w:sz="0" w:space="0" w:color="auto"/>
        <w:left w:val="none" w:sz="0" w:space="0" w:color="auto"/>
        <w:bottom w:val="none" w:sz="0" w:space="0" w:color="auto"/>
        <w:right w:val="none" w:sz="0" w:space="0" w:color="auto"/>
      </w:divBdr>
    </w:div>
    <w:div w:id="2057048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dvisorintelligence.com/thought-leadership/articles/portfolio-update-strategic-allocation-changes"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2650BE6765404EA179A9872D8AD4F3"/>
        <w:category>
          <w:name w:val="Général"/>
          <w:gallery w:val="placeholder"/>
        </w:category>
        <w:types>
          <w:type w:val="bbPlcHdr"/>
        </w:types>
        <w:behaviors>
          <w:behavior w:val="content"/>
        </w:behaviors>
        <w:guid w:val="{BAA105CC-43C9-4901-97E1-6B24A4E23F90}"/>
      </w:docPartPr>
      <w:docPartBody>
        <w:p w:rsidR="00421D7F" w:rsidRDefault="00AC78FC">
          <w:pPr>
            <w:pStyle w:val="162650BE6765404EA179A9872D8AD4F3"/>
          </w:pPr>
          <w:r w:rsidRPr="00182A1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D7F"/>
    <w:rsid w:val="000006C9"/>
    <w:rsid w:val="000361F7"/>
    <w:rsid w:val="00043EDF"/>
    <w:rsid w:val="000748D7"/>
    <w:rsid w:val="00074E5A"/>
    <w:rsid w:val="000E69B6"/>
    <w:rsid w:val="0013595A"/>
    <w:rsid w:val="001359A4"/>
    <w:rsid w:val="0013633E"/>
    <w:rsid w:val="00156D2A"/>
    <w:rsid w:val="0016713F"/>
    <w:rsid w:val="00176534"/>
    <w:rsid w:val="00193563"/>
    <w:rsid w:val="001A7869"/>
    <w:rsid w:val="00200935"/>
    <w:rsid w:val="00215F6A"/>
    <w:rsid w:val="00240E51"/>
    <w:rsid w:val="002715C6"/>
    <w:rsid w:val="0029230F"/>
    <w:rsid w:val="002E0FCD"/>
    <w:rsid w:val="002E723C"/>
    <w:rsid w:val="002E7502"/>
    <w:rsid w:val="003716DC"/>
    <w:rsid w:val="0038395F"/>
    <w:rsid w:val="003851D9"/>
    <w:rsid w:val="00397332"/>
    <w:rsid w:val="003D162F"/>
    <w:rsid w:val="00421D7F"/>
    <w:rsid w:val="00452D82"/>
    <w:rsid w:val="00472FEE"/>
    <w:rsid w:val="00542463"/>
    <w:rsid w:val="006B785D"/>
    <w:rsid w:val="00731610"/>
    <w:rsid w:val="007869BD"/>
    <w:rsid w:val="00787494"/>
    <w:rsid w:val="00796C59"/>
    <w:rsid w:val="007E5A6D"/>
    <w:rsid w:val="008C6C8C"/>
    <w:rsid w:val="008D46AB"/>
    <w:rsid w:val="00924446"/>
    <w:rsid w:val="00A06FE1"/>
    <w:rsid w:val="00A26181"/>
    <w:rsid w:val="00A63898"/>
    <w:rsid w:val="00A8502D"/>
    <w:rsid w:val="00AC5FFB"/>
    <w:rsid w:val="00AC78FC"/>
    <w:rsid w:val="00B21AB1"/>
    <w:rsid w:val="00B34A79"/>
    <w:rsid w:val="00B70906"/>
    <w:rsid w:val="00B829E9"/>
    <w:rsid w:val="00BE5112"/>
    <w:rsid w:val="00C31682"/>
    <w:rsid w:val="00CA69B1"/>
    <w:rsid w:val="00CE1DA3"/>
    <w:rsid w:val="00CE7ABF"/>
    <w:rsid w:val="00D5286F"/>
    <w:rsid w:val="00D552E8"/>
    <w:rsid w:val="00D70370"/>
    <w:rsid w:val="00DA4AB3"/>
    <w:rsid w:val="00DD3868"/>
    <w:rsid w:val="00E13466"/>
    <w:rsid w:val="00E22508"/>
    <w:rsid w:val="00E3456E"/>
    <w:rsid w:val="00F33818"/>
    <w:rsid w:val="00F82502"/>
    <w:rsid w:val="00F96EB2"/>
    <w:rsid w:val="00FA1887"/>
    <w:rsid w:val="00FC037F"/>
    <w:rsid w:val="00FC0854"/>
    <w:rsid w:val="00FE717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9A4"/>
    <w:rPr>
      <w:color w:val="808080"/>
    </w:rPr>
  </w:style>
  <w:style w:type="paragraph" w:customStyle="1" w:styleId="162650BE6765404EA179A9872D8AD4F3">
    <w:name w:val="162650BE6765404EA179A9872D8AD4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iMGP">
      <a:dk1>
        <a:srgbClr val="003B4A"/>
      </a:dk1>
      <a:lt1>
        <a:srgbClr val="FFFFFF"/>
      </a:lt1>
      <a:dk2>
        <a:srgbClr val="001E27"/>
      </a:dk2>
      <a:lt2>
        <a:srgbClr val="F0F0F0"/>
      </a:lt2>
      <a:accent1>
        <a:srgbClr val="003B4A"/>
      </a:accent1>
      <a:accent2>
        <a:srgbClr val="FFB600"/>
      </a:accent2>
      <a:accent3>
        <a:srgbClr val="FFF0D9"/>
      </a:accent3>
      <a:accent4>
        <a:srgbClr val="001E27"/>
      </a:accent4>
      <a:accent5>
        <a:srgbClr val="F0F0F0"/>
      </a:accent5>
      <a:accent6>
        <a:srgbClr val="006072"/>
      </a:accent6>
      <a:hlink>
        <a:srgbClr val="98989A"/>
      </a:hlink>
      <a:folHlink>
        <a:srgbClr val="D9D8D7"/>
      </a:folHlink>
    </a:clrScheme>
    <a:fontScheme name="iMGP New Branding">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f9f795-1922-4b84-96ad-d1ff9b96c31c">
      <Terms xmlns="http://schemas.microsoft.com/office/infopath/2007/PartnerControls"/>
    </lcf76f155ced4ddcb4097134ff3c332f>
    <TaxCatchAll xmlns="7e97560a-2fae-4512-94ed-9d14a5cc75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1AFA378857632418285102720DEADD5" ma:contentTypeVersion="13" ma:contentTypeDescription="Create a new document." ma:contentTypeScope="" ma:versionID="b0e4da479bb8b85b3298806e7e42220d">
  <xsd:schema xmlns:xsd="http://www.w3.org/2001/XMLSchema" xmlns:xs="http://www.w3.org/2001/XMLSchema" xmlns:p="http://schemas.microsoft.com/office/2006/metadata/properties" xmlns:ns2="66f9f795-1922-4b84-96ad-d1ff9b96c31c" xmlns:ns3="7e97560a-2fae-4512-94ed-9d14a5cc754e" targetNamespace="http://schemas.microsoft.com/office/2006/metadata/properties" ma:root="true" ma:fieldsID="b91547e76e8bb65087d82c3b19fa5806" ns2:_="" ns3:_="">
    <xsd:import namespace="66f9f795-1922-4b84-96ad-d1ff9b96c31c"/>
    <xsd:import namespace="7e97560a-2fae-4512-94ed-9d14a5cc75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9f795-1922-4b84-96ad-d1ff9b96c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b6e61b-7693-4e86-92ed-57ffe47b32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97560a-2fae-4512-94ed-9d14a5cc75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065408b-b64f-40aa-84be-0a434b1f0d57}" ma:internalName="TaxCatchAll" ma:showField="CatchAllData" ma:web="7e97560a-2fae-4512-94ed-9d14a5cc75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540E54-ACAD-4C56-91D5-ECC6ACC4E565}">
  <ds:schemaRefs>
    <ds:schemaRef ds:uri="http://schemas.microsoft.com/office/2006/metadata/properties"/>
    <ds:schemaRef ds:uri="http://schemas.microsoft.com/office/infopath/2007/PartnerControls"/>
    <ds:schemaRef ds:uri="66f9f795-1922-4b84-96ad-d1ff9b96c31c"/>
    <ds:schemaRef ds:uri="7e97560a-2fae-4512-94ed-9d14a5cc754e"/>
  </ds:schemaRefs>
</ds:datastoreItem>
</file>

<file path=customXml/itemProps3.xml><?xml version="1.0" encoding="utf-8"?>
<ds:datastoreItem xmlns:ds="http://schemas.openxmlformats.org/officeDocument/2006/customXml" ds:itemID="{D3ACB484-7D65-4442-9485-E30B27F20796}">
  <ds:schemaRefs>
    <ds:schemaRef ds:uri="http://schemas.microsoft.com/sharepoint/v3/contenttype/forms"/>
  </ds:schemaRefs>
</ds:datastoreItem>
</file>

<file path=customXml/itemProps4.xml><?xml version="1.0" encoding="utf-8"?>
<ds:datastoreItem xmlns:ds="http://schemas.openxmlformats.org/officeDocument/2006/customXml" ds:itemID="{A631A886-9836-A047-9012-BB4D90C5565F}">
  <ds:schemaRefs>
    <ds:schemaRef ds:uri="http://schemas.openxmlformats.org/officeDocument/2006/bibliography"/>
  </ds:schemaRefs>
</ds:datastoreItem>
</file>

<file path=customXml/itemProps5.xml><?xml version="1.0" encoding="utf-8"?>
<ds:datastoreItem xmlns:ds="http://schemas.openxmlformats.org/officeDocument/2006/customXml" ds:itemID="{A678FE7E-5765-4DF6-B32B-E38509811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9f795-1922-4b84-96ad-d1ff9b96c31c"/>
    <ds:schemaRef ds:uri="7e97560a-2fae-4512-94ed-9d14a5cc7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1757</Words>
  <Characters>10021</Characters>
  <Application>Microsoft Office Word</Application>
  <DocSecurity>0</DocSecurity>
  <Lines>83</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Monthly Market Update</vt:lpstr>
      <vt:lpstr/>
    </vt:vector>
  </TitlesOfParts>
  <Company/>
  <LinksUpToDate>false</LinksUpToDate>
  <CharactersWithSpaces>11755</CharactersWithSpaces>
  <SharedDoc>false</SharedDoc>
  <HLinks>
    <vt:vector size="6" baseType="variant">
      <vt:variant>
        <vt:i4>4915267</vt:i4>
      </vt:variant>
      <vt:variant>
        <vt:i4>3</vt:i4>
      </vt:variant>
      <vt:variant>
        <vt:i4>0</vt:i4>
      </vt:variant>
      <vt:variant>
        <vt:i4>5</vt:i4>
      </vt:variant>
      <vt:variant>
        <vt:lpwstr>http://www.imgp.com/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Market Update</dc:title>
  <dc:subject/>
  <dc:creator>Christian MEJIA</dc:creator>
  <cp:keywords/>
  <dc:description/>
  <cp:lastModifiedBy>Christian Mejia</cp:lastModifiedBy>
  <cp:revision>2</cp:revision>
  <cp:lastPrinted>2020-10-16T12:47:00Z</cp:lastPrinted>
  <dcterms:created xsi:type="dcterms:W3CDTF">2023-05-05T21:04:00Z</dcterms:created>
  <dcterms:modified xsi:type="dcterms:W3CDTF">2023-05-05T21:04:00Z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0x01010091AFA378857632418285102720DEADD5</vt:lpwstr>
  </property>
  <property fmtid="{D5CDD505-2E9C-101B-9397-08002B2CF9AE}" pid="3" name="Order">
    <vt:r8>359800</vt:r8>
  </property>
  <property fmtid="{D5CDD505-2E9C-101B-9397-08002B2CF9AE}" pid="4" name="_ExtendedDescription">
    <vt:lpwstr/>
  </property>
  <property fmtid="{D5CDD505-2E9C-101B-9397-08002B2CF9AE}" pid="5" name="MediaServiceImageTags">
    <vt:lpwstr/>
  </property>
</Properties>
</file>